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E9" w:rsidRPr="00CA4942" w:rsidRDefault="000F38E9" w:rsidP="000F38E9">
      <w:pPr>
        <w:spacing w:after="0"/>
        <w:jc w:val="both"/>
        <w:rPr>
          <w:rFonts w:asciiTheme="minorHAnsi" w:hAnsiTheme="minorHAnsi"/>
        </w:rPr>
      </w:pPr>
    </w:p>
    <w:p w:rsidR="000F38E9" w:rsidRPr="00CA4942" w:rsidRDefault="000F38E9" w:rsidP="000F38E9">
      <w:pPr>
        <w:spacing w:after="0"/>
        <w:jc w:val="both"/>
        <w:rPr>
          <w:rFonts w:asciiTheme="minorHAnsi" w:hAnsiTheme="minorHAnsi"/>
        </w:rPr>
      </w:pPr>
    </w:p>
    <w:p w:rsidR="000F38E9" w:rsidRPr="00CA4942" w:rsidRDefault="000F38E9" w:rsidP="000F38E9">
      <w:pPr>
        <w:spacing w:after="0"/>
        <w:jc w:val="both"/>
        <w:rPr>
          <w:rFonts w:asciiTheme="minorHAnsi" w:hAnsiTheme="minorHAnsi"/>
        </w:rPr>
      </w:pPr>
    </w:p>
    <w:p w:rsidR="000F38E9" w:rsidRPr="00CA4942" w:rsidRDefault="000F38E9" w:rsidP="000F38E9">
      <w:pPr>
        <w:spacing w:after="0"/>
        <w:jc w:val="both"/>
        <w:rPr>
          <w:rFonts w:asciiTheme="minorHAnsi" w:hAnsiTheme="minorHAnsi"/>
        </w:rPr>
      </w:pPr>
    </w:p>
    <w:p w:rsidR="000F38E9" w:rsidRPr="00CA4942" w:rsidRDefault="000F38E9" w:rsidP="000F38E9">
      <w:pPr>
        <w:spacing w:after="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</w:p>
    <w:p w:rsidR="000F38E9" w:rsidRDefault="000F38E9" w:rsidP="000F38E9">
      <w:pPr>
        <w:spacing w:after="0"/>
        <w:ind w:left="1418" w:firstLine="709"/>
        <w:rPr>
          <w:rFonts w:asciiTheme="minorHAnsi" w:hAnsiTheme="minorHAnsi"/>
          <w:b/>
          <w:bCs/>
        </w:rPr>
      </w:pPr>
    </w:p>
    <w:p w:rsidR="000F38E9" w:rsidRDefault="000F38E9" w:rsidP="000F38E9">
      <w:pPr>
        <w:spacing w:after="0"/>
        <w:ind w:left="2831" w:firstLine="709"/>
        <w:rPr>
          <w:rStyle w:val="Kiemels2"/>
          <w:rFonts w:asciiTheme="minorHAnsi" w:hAnsiTheme="minorHAnsi" w:cs="Times"/>
        </w:rPr>
      </w:pPr>
      <w:r w:rsidRPr="000F38E9">
        <w:rPr>
          <w:rFonts w:asciiTheme="minorHAnsi" w:hAnsiTheme="minorHAnsi"/>
          <w:b/>
          <w:bCs/>
          <w:u w:val="single"/>
        </w:rPr>
        <w:t>Tárgy:</w:t>
      </w:r>
      <w:r>
        <w:rPr>
          <w:rFonts w:asciiTheme="minorHAnsi" w:hAnsiTheme="minorHAnsi"/>
          <w:b/>
          <w:bCs/>
        </w:rPr>
        <w:tab/>
      </w:r>
      <w:r w:rsidRPr="00067A28">
        <w:rPr>
          <w:rStyle w:val="Kiemels2"/>
          <w:rFonts w:asciiTheme="minorHAnsi" w:hAnsiTheme="minorHAnsi" w:cs="Times"/>
        </w:rPr>
        <w:t xml:space="preserve">a közösségi együttélés alapvető szabályairól és </w:t>
      </w:r>
    </w:p>
    <w:p w:rsidR="000F38E9" w:rsidRDefault="000F38E9" w:rsidP="000F38E9">
      <w:pPr>
        <w:spacing w:after="0"/>
        <w:ind w:left="3540"/>
        <w:rPr>
          <w:rStyle w:val="Kiemels2"/>
          <w:rFonts w:asciiTheme="minorHAnsi" w:hAnsiTheme="minorHAnsi" w:cs="Times"/>
        </w:rPr>
      </w:pPr>
      <w:proofErr w:type="gramStart"/>
      <w:r w:rsidRPr="00067A28">
        <w:rPr>
          <w:rStyle w:val="Kiemels2"/>
          <w:rFonts w:asciiTheme="minorHAnsi" w:hAnsiTheme="minorHAnsi" w:cs="Times"/>
        </w:rPr>
        <w:t>ezek</w:t>
      </w:r>
      <w:proofErr w:type="gramEnd"/>
      <w:r w:rsidRPr="00067A28">
        <w:rPr>
          <w:rStyle w:val="Kiemels2"/>
          <w:rFonts w:asciiTheme="minorHAnsi" w:hAnsiTheme="minorHAnsi" w:cs="Times"/>
        </w:rPr>
        <w:t xml:space="preserve"> megsértésének jogkövetkezményeiről</w:t>
      </w:r>
      <w:r>
        <w:rPr>
          <w:rStyle w:val="Kiemels2"/>
          <w:rFonts w:asciiTheme="minorHAnsi" w:hAnsiTheme="minorHAnsi" w:cs="Times"/>
        </w:rPr>
        <w:t xml:space="preserve"> szóló rendelet megalkotása</w:t>
      </w:r>
    </w:p>
    <w:p w:rsidR="00471E74" w:rsidRDefault="00471E74" w:rsidP="000F38E9">
      <w:pPr>
        <w:spacing w:after="0"/>
        <w:ind w:left="3540"/>
        <w:rPr>
          <w:rStyle w:val="Kiemels2"/>
          <w:rFonts w:asciiTheme="minorHAnsi" w:hAnsiTheme="minorHAnsi" w:cs="Times"/>
        </w:rPr>
      </w:pPr>
    </w:p>
    <w:p w:rsidR="000F38E9" w:rsidRPr="00CA4942" w:rsidRDefault="000F38E9" w:rsidP="000F38E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</w:p>
    <w:p w:rsidR="000F38E9" w:rsidRPr="00CA4942" w:rsidRDefault="000F38E9" w:rsidP="000F38E9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</w:rPr>
      </w:pPr>
      <w:r w:rsidRPr="00CA4942">
        <w:rPr>
          <w:rFonts w:asciiTheme="minorHAnsi" w:hAnsiTheme="minorHAnsi"/>
          <w:b/>
          <w:bCs/>
          <w:spacing w:val="36"/>
        </w:rPr>
        <w:t>ELŐTERJESZTÉS</w:t>
      </w:r>
    </w:p>
    <w:p w:rsidR="000F38E9" w:rsidRPr="00CA4942" w:rsidRDefault="000F38E9" w:rsidP="000F38E9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CA4942">
        <w:rPr>
          <w:rFonts w:asciiTheme="minorHAnsi" w:hAnsiTheme="minorHAnsi"/>
          <w:b/>
          <w:bCs/>
        </w:rPr>
        <w:t>Csemő Község Képviselő-testületének</w:t>
      </w:r>
    </w:p>
    <w:p w:rsidR="000F38E9" w:rsidRPr="00CA4942" w:rsidRDefault="000F38E9" w:rsidP="000F38E9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2019. március</w:t>
      </w:r>
      <w:r w:rsidRPr="00CA4942">
        <w:rPr>
          <w:rFonts w:asciiTheme="minorHAnsi" w:hAnsiTheme="minorHAnsi"/>
          <w:b/>
          <w:bCs/>
        </w:rPr>
        <w:t xml:space="preserve"> 26-án tartandó ülésére</w:t>
      </w:r>
    </w:p>
    <w:p w:rsidR="000F38E9" w:rsidRDefault="000F38E9" w:rsidP="000F38E9">
      <w:pPr>
        <w:spacing w:after="0"/>
        <w:jc w:val="both"/>
        <w:rPr>
          <w:rFonts w:asciiTheme="minorHAnsi" w:hAnsiTheme="minorHAnsi"/>
          <w:b/>
          <w:bCs/>
        </w:rPr>
      </w:pPr>
    </w:p>
    <w:p w:rsidR="00471E74" w:rsidRPr="00CA4942" w:rsidRDefault="00471E74" w:rsidP="000F38E9">
      <w:pPr>
        <w:spacing w:after="0"/>
        <w:jc w:val="both"/>
        <w:rPr>
          <w:rFonts w:asciiTheme="minorHAnsi" w:hAnsiTheme="minorHAnsi"/>
          <w:b/>
          <w:bCs/>
        </w:rPr>
      </w:pPr>
    </w:p>
    <w:p w:rsidR="000F38E9" w:rsidRPr="00CA4942" w:rsidRDefault="000F38E9" w:rsidP="000F38E9">
      <w:pPr>
        <w:spacing w:after="0"/>
        <w:jc w:val="both"/>
        <w:rPr>
          <w:rFonts w:asciiTheme="minorHAnsi" w:hAnsiTheme="minorHAnsi"/>
          <w:b/>
          <w:bCs/>
        </w:rPr>
      </w:pPr>
      <w:r w:rsidRPr="00CA4942">
        <w:rPr>
          <w:rFonts w:asciiTheme="minorHAnsi" w:hAnsiTheme="minorHAnsi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684A6444" wp14:editId="08F571CD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4942">
        <w:rPr>
          <w:rFonts w:asciiTheme="minorHAnsi" w:hAnsiTheme="minorHAnsi"/>
          <w:b/>
          <w:bCs/>
        </w:rPr>
        <w:t>Tisztelt Képviselő-testület!</w:t>
      </w:r>
    </w:p>
    <w:p w:rsidR="000F38E9" w:rsidRPr="00CA4942" w:rsidRDefault="000F38E9" w:rsidP="000F38E9">
      <w:pPr>
        <w:spacing w:after="0"/>
        <w:jc w:val="both"/>
        <w:rPr>
          <w:rFonts w:asciiTheme="minorHAnsi" w:hAnsiTheme="minorHAnsi"/>
        </w:rPr>
      </w:pPr>
    </w:p>
    <w:p w:rsidR="000F38E9" w:rsidRPr="000F38E9" w:rsidRDefault="000F38E9" w:rsidP="000F38E9">
      <w:pPr>
        <w:jc w:val="both"/>
        <w:rPr>
          <w:rFonts w:cs="Arial"/>
          <w:shd w:val="clear" w:color="auto" w:fill="FFFFFF"/>
        </w:rPr>
      </w:pPr>
      <w:r w:rsidRPr="000F38E9">
        <w:rPr>
          <w:rFonts w:cs="Arial"/>
          <w:shd w:val="clear" w:color="auto" w:fill="FFFFFF"/>
        </w:rPr>
        <w:t xml:space="preserve">Magyarország helyi önkormányzatairól szóló CLXXXIX. törvény (a továbbiakban: </w:t>
      </w:r>
      <w:proofErr w:type="spellStart"/>
      <w:r w:rsidRPr="000F38E9">
        <w:rPr>
          <w:rFonts w:cs="Arial"/>
          <w:shd w:val="clear" w:color="auto" w:fill="FFFFFF"/>
        </w:rPr>
        <w:t>Mötv</w:t>
      </w:r>
      <w:proofErr w:type="spellEnd"/>
      <w:r w:rsidRPr="000F38E9">
        <w:rPr>
          <w:rFonts w:cs="Arial"/>
          <w:shd w:val="clear" w:color="auto" w:fill="FFFFFF"/>
        </w:rPr>
        <w:t>.) 8. § (2) bekezdése, valamint 143. § (4) bekezdés d) pontja felhatalmazza a helyi önkormányzat képviselő-testületét, hogy rendeletben határozza meg a tiltott közösségellenes magatartásokat, valamint a magatartás elkövetőjével szembeni közigazgatási bírság kiszabásának szabályait.</w:t>
      </w:r>
    </w:p>
    <w:p w:rsidR="000F38E9" w:rsidRPr="00645D5D" w:rsidRDefault="000F38E9" w:rsidP="000F38E9">
      <w:pPr>
        <w:jc w:val="both"/>
        <w:rPr>
          <w:rFonts w:cs="Arial"/>
          <w:shd w:val="clear" w:color="auto" w:fill="FFFFFF"/>
        </w:rPr>
      </w:pPr>
      <w:r w:rsidRPr="000F38E9">
        <w:t xml:space="preserve">A most hatályos szabálysértési törvény (2012. évi II. törvény) hatálybalépésével megszűnt a képviselő-testületnek az a hatásköre, amellyel </w:t>
      </w:r>
      <w:r w:rsidRPr="000F38E9">
        <w:rPr>
          <w:rFonts w:cs="Arial"/>
          <w:shd w:val="clear" w:color="auto" w:fill="FFFFFF"/>
        </w:rPr>
        <w:t>valamely cselekményt vagy mulasztást szabálysértéssé minősíthetett. Az önkormányzatok 2012. május 31-ig kötelesek voltak hatályon kívül helyezni az önkormányzati rendeletekben meghatározott szabálysértési rendelkezéseket. Ettől az időponttól kezdődően önkormányzati rendelet nem szabályozta az egyes korábban szabálysértéseknek minősülő magatartásokat és azok jogkövetkezményeit.</w:t>
      </w:r>
      <w:r w:rsidRPr="00645D5D">
        <w:rPr>
          <w:rFonts w:cs="Arial"/>
          <w:shd w:val="clear" w:color="auto" w:fill="FFFFFF"/>
        </w:rPr>
        <w:t xml:space="preserve"> Ez azt jelenti, hogy az ilyen magatartást elkövető személyt nem lehet felelősségre vonni. </w:t>
      </w:r>
    </w:p>
    <w:p w:rsidR="000F38E9" w:rsidRPr="00645D5D" w:rsidRDefault="000F38E9" w:rsidP="000F38E9">
      <w:pPr>
        <w:jc w:val="both"/>
        <w:rPr>
          <w:rFonts w:cs="Arial"/>
          <w:shd w:val="clear" w:color="auto" w:fill="FFFFFF"/>
        </w:rPr>
      </w:pPr>
      <w:r w:rsidRPr="00645D5D">
        <w:rPr>
          <w:rFonts w:cs="Arial"/>
          <w:shd w:val="clear" w:color="auto" w:fill="FFFFFF"/>
        </w:rPr>
        <w:t>A hatályos szabálysértési törvény viszonylag szűk körben szabályozza a lakossági együttélést zavaró, sértő magatartásformákat, a közterületek rendjét, emiatt a község lakóinak nyugalma, a közhasználatú területek rendje tisztasága, az életviszonyok rendezettsége céljából szükségesnek tartom a közösségi együttélés szabályait tartalmazó rendelet megalkotását.</w:t>
      </w:r>
    </w:p>
    <w:p w:rsidR="000F38E9" w:rsidRPr="00645D5D" w:rsidRDefault="000F38E9" w:rsidP="000F38E9">
      <w:pPr>
        <w:jc w:val="both"/>
        <w:rPr>
          <w:rFonts w:cs="Arial"/>
          <w:shd w:val="clear" w:color="auto" w:fill="FFFFFF"/>
        </w:rPr>
      </w:pPr>
      <w:r w:rsidRPr="00645D5D">
        <w:rPr>
          <w:rFonts w:cs="Arial"/>
          <w:shd w:val="clear" w:color="auto" w:fill="FFFFFF"/>
        </w:rPr>
        <w:t>A rendeletben azokat a magatartásokat javasoltuk szabályozni, amelyek a lakossági bejelentések és a polgármesteri hivatal dolgozóinak tapasztalatai alap</w:t>
      </w:r>
      <w:r>
        <w:rPr>
          <w:rFonts w:cs="Arial"/>
          <w:shd w:val="clear" w:color="auto" w:fill="FFFFFF"/>
        </w:rPr>
        <w:t>ján rendszeresen felmerülnek és</w:t>
      </w:r>
      <w:r w:rsidRPr="00645D5D">
        <w:rPr>
          <w:rFonts w:cs="Arial"/>
          <w:shd w:val="clear" w:color="auto" w:fill="FFFFFF"/>
        </w:rPr>
        <w:t xml:space="preserve"> problémaként jelentkeznek. </w:t>
      </w:r>
    </w:p>
    <w:p w:rsidR="000F38E9" w:rsidRPr="00645D5D" w:rsidRDefault="000F38E9" w:rsidP="000F38E9">
      <w:pPr>
        <w:jc w:val="both"/>
        <w:rPr>
          <w:rFonts w:cs="Arial"/>
          <w:shd w:val="clear" w:color="auto" w:fill="FFFFFF"/>
        </w:rPr>
      </w:pPr>
      <w:r w:rsidRPr="00645D5D">
        <w:rPr>
          <w:rFonts w:cs="Arial"/>
          <w:shd w:val="clear" w:color="auto" w:fill="FFFFFF"/>
        </w:rPr>
        <w:t>Ezek az alábbiak:</w:t>
      </w:r>
    </w:p>
    <w:p w:rsidR="000F38E9" w:rsidRDefault="000F38E9" w:rsidP="000F38E9">
      <w:pPr>
        <w:pStyle w:val="Listaszerbekezds"/>
        <w:numPr>
          <w:ilvl w:val="0"/>
          <w:numId w:val="5"/>
        </w:numPr>
        <w:spacing w:after="160" w:line="259" w:lineRule="auto"/>
        <w:jc w:val="both"/>
        <w:rPr>
          <w:rFonts w:cs="Arial"/>
          <w:shd w:val="clear" w:color="auto" w:fill="FFFFFF"/>
        </w:rPr>
      </w:pPr>
      <w:r w:rsidRPr="00AE62B7">
        <w:rPr>
          <w:rFonts w:cs="Arial"/>
          <w:shd w:val="clear" w:color="auto" w:fill="FFFFFF"/>
        </w:rPr>
        <w:t>köztisztasággal kapcsolatos magatartások</w:t>
      </w:r>
      <w:r>
        <w:rPr>
          <w:rFonts w:cs="Arial"/>
          <w:shd w:val="clear" w:color="auto" w:fill="FFFFFF"/>
        </w:rPr>
        <w:t xml:space="preserve"> (az ingatlan tisztántartásának, rágcsáló-, rovar- és gyommentesítésének</w:t>
      </w:r>
      <w:r w:rsidRPr="00AE62B7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kötelezettsége került szabályozásra);</w:t>
      </w:r>
    </w:p>
    <w:p w:rsidR="000F38E9" w:rsidRPr="00AE62B7" w:rsidRDefault="000F38E9" w:rsidP="000F38E9">
      <w:pPr>
        <w:pStyle w:val="Listaszerbekezds"/>
        <w:numPr>
          <w:ilvl w:val="0"/>
          <w:numId w:val="5"/>
        </w:numPr>
        <w:spacing w:after="160" w:line="259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állattartással kapcsolatos magatartások (az ebek és a haszonállatok közterületre jutásának megakadályozását előíró szabályok kerültek megfogalmazásra);</w:t>
      </w:r>
    </w:p>
    <w:p w:rsidR="000F38E9" w:rsidRDefault="000F38E9" w:rsidP="000F38E9">
      <w:pPr>
        <w:pStyle w:val="Listaszerbekezds"/>
        <w:numPr>
          <w:ilvl w:val="0"/>
          <w:numId w:val="5"/>
        </w:numPr>
        <w:spacing w:after="160" w:line="259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Környezet</w:t>
      </w:r>
      <w:r w:rsidRPr="00AE62B7">
        <w:rPr>
          <w:rFonts w:cs="Arial"/>
          <w:shd w:val="clear" w:color="auto" w:fill="FFFFFF"/>
        </w:rPr>
        <w:t>védelem</w:t>
      </w:r>
      <w:r>
        <w:rPr>
          <w:rFonts w:cs="Arial"/>
          <w:shd w:val="clear" w:color="auto" w:fill="FFFFFF"/>
        </w:rPr>
        <w:t>mel kapcsolatos magatartások</w:t>
      </w:r>
      <w:r w:rsidRPr="00AE62B7">
        <w:rPr>
          <w:rFonts w:cs="Arial"/>
          <w:shd w:val="clear" w:color="auto" w:fill="FFFFFF"/>
        </w:rPr>
        <w:t xml:space="preserve"> (ezen belül elsősorban a hulladék nem megfelelő gyűjtése, tűzgyújtás</w:t>
      </w:r>
      <w:r>
        <w:rPr>
          <w:rFonts w:cs="Arial"/>
          <w:shd w:val="clear" w:color="auto" w:fill="FFFFFF"/>
        </w:rPr>
        <w:t>sal kapcsolatos előírások, tilalmak betartása lett előírva).</w:t>
      </w:r>
    </w:p>
    <w:p w:rsidR="00471E74" w:rsidRDefault="00471E74" w:rsidP="000F38E9">
      <w:pPr>
        <w:jc w:val="both"/>
        <w:rPr>
          <w:rFonts w:cs="Arial"/>
          <w:shd w:val="clear" w:color="auto" w:fill="FFFFFF"/>
        </w:rPr>
      </w:pPr>
    </w:p>
    <w:p w:rsidR="000F38E9" w:rsidRPr="00645D5D" w:rsidRDefault="00471E74" w:rsidP="000F38E9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A</w:t>
      </w:r>
      <w:r w:rsidR="000F38E9" w:rsidRPr="00645D5D">
        <w:rPr>
          <w:rFonts w:cs="Arial"/>
          <w:shd w:val="clear" w:color="auto" w:fill="FFFFFF"/>
        </w:rPr>
        <w:t xml:space="preserve"> rendelet megalkotásával a lakosság nyugalmát zavaró magatartások szankcionálhatók lesznek, amely elősegíti a jogkövető magatartás érvényesülését.</w:t>
      </w:r>
    </w:p>
    <w:p w:rsidR="000F38E9" w:rsidRDefault="000F38E9" w:rsidP="000F38E9">
      <w:pPr>
        <w:jc w:val="both"/>
      </w:pPr>
      <w:r w:rsidRPr="0033337C">
        <w:t>A rendelet-tervezet a lakosság által elvárt, korábban is érvényesülő, az együttélést elősegítő szabályokat és azok megsértése esetén alkalmazandó szankciókat tartalmazza.</w:t>
      </w:r>
    </w:p>
    <w:p w:rsidR="00471E74" w:rsidRDefault="00471E74" w:rsidP="000F38E9">
      <w:pPr>
        <w:jc w:val="both"/>
      </w:pPr>
      <w:r>
        <w:t>A jogalkotásról szóló 2010. évi CXXX. tv. 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Képviselő-testületet tájékoztatni kell.</w:t>
      </w:r>
    </w:p>
    <w:p w:rsidR="00471E74" w:rsidRPr="00E90FD5" w:rsidRDefault="00471E74" w:rsidP="00471E74">
      <w:pPr>
        <w:suppressAutoHyphens/>
        <w:jc w:val="both"/>
        <w:rPr>
          <w:b/>
          <w:u w:val="single"/>
          <w:lang w:eastAsia="ar-SA"/>
        </w:rPr>
      </w:pPr>
      <w:r w:rsidRPr="00E90FD5">
        <w:rPr>
          <w:b/>
          <w:u w:val="single"/>
          <w:lang w:eastAsia="ar-SA"/>
        </w:rPr>
        <w:t>A fentiek alapján a</w:t>
      </w:r>
      <w:r w:rsidRPr="00E90FD5">
        <w:rPr>
          <w:b/>
          <w:iCs/>
          <w:color w:val="000000"/>
          <w:u w:val="single"/>
          <w:lang w:eastAsia="ar-SA"/>
        </w:rPr>
        <w:t xml:space="preserve"> közösségi együttélés alapve</w:t>
      </w:r>
      <w:r>
        <w:rPr>
          <w:b/>
          <w:iCs/>
          <w:color w:val="000000"/>
          <w:u w:val="single"/>
          <w:lang w:eastAsia="ar-SA"/>
        </w:rPr>
        <w:t xml:space="preserve">tő szabályairól és ezek megsértésének </w:t>
      </w:r>
      <w:r w:rsidRPr="00E90FD5">
        <w:rPr>
          <w:b/>
          <w:iCs/>
          <w:color w:val="000000"/>
          <w:u w:val="single"/>
          <w:lang w:eastAsia="ar-SA"/>
        </w:rPr>
        <w:t>következményeiről szóló rendelet megalkotásáról</w:t>
      </w:r>
      <w:r w:rsidRPr="00E90FD5">
        <w:rPr>
          <w:b/>
          <w:u w:val="single"/>
          <w:lang w:eastAsia="ar-SA"/>
        </w:rPr>
        <w:t xml:space="preserve"> – az előzetes hatásvizsgálat tükrében – az alábbi tájékoztatást adom:</w:t>
      </w:r>
    </w:p>
    <w:p w:rsidR="00471E74" w:rsidRPr="00E90FD5" w:rsidRDefault="00471E74" w:rsidP="00471E74">
      <w:pPr>
        <w:keepLines/>
        <w:jc w:val="both"/>
        <w:rPr>
          <w:b/>
          <w:lang w:eastAsia="ar-SA"/>
        </w:rPr>
      </w:pPr>
      <w:r w:rsidRPr="00E90FD5">
        <w:rPr>
          <w:b/>
          <w:lang w:eastAsia="ar-SA"/>
        </w:rPr>
        <w:t xml:space="preserve">1. Az új rendelet megalkotásának valamennyi jelentősnek ítélt hatása, különösen: </w:t>
      </w:r>
    </w:p>
    <w:p w:rsidR="00471E74" w:rsidRPr="00E90FD5" w:rsidRDefault="00471E74" w:rsidP="00471E74">
      <w:pPr>
        <w:keepLines/>
        <w:jc w:val="both"/>
        <w:rPr>
          <w:b/>
          <w:lang w:eastAsia="ar-SA"/>
        </w:rPr>
      </w:pPr>
      <w:r w:rsidRPr="00E90FD5">
        <w:rPr>
          <w:b/>
          <w:lang w:eastAsia="ar-SA"/>
        </w:rPr>
        <w:t>1.1. társadalmi, gazdasági, költségvetési hatása:</w:t>
      </w:r>
    </w:p>
    <w:p w:rsidR="00471E74" w:rsidRPr="00E90FD5" w:rsidRDefault="00471E74" w:rsidP="00471E74">
      <w:pPr>
        <w:autoSpaceDE w:val="0"/>
        <w:autoSpaceDN w:val="0"/>
        <w:adjustRightInd w:val="0"/>
        <w:jc w:val="both"/>
      </w:pPr>
      <w:r w:rsidRPr="00E90FD5">
        <w:t>Társadalmi hatásként értékelhető</w:t>
      </w:r>
      <w:r w:rsidR="005D30C9">
        <w:t xml:space="preserve">: a közösségellenes </w:t>
      </w:r>
      <w:proofErr w:type="gramStart"/>
      <w:r w:rsidR="005D30C9">
        <w:t>magatartások</w:t>
      </w:r>
      <w:r w:rsidR="00955ED4">
        <w:t xml:space="preserve"> </w:t>
      </w:r>
      <w:bookmarkStart w:id="0" w:name="_GoBack"/>
      <w:bookmarkEnd w:id="0"/>
      <w:r w:rsidRPr="00E90FD5">
        <w:t xml:space="preserve"> meghatározásával</w:t>
      </w:r>
      <w:proofErr w:type="gramEnd"/>
      <w:r w:rsidRPr="00E90FD5">
        <w:t>, azok rendeletben történő szabályozásával javulhat a közrend, közbiztonság, hiszen megteremtődik a szankcionálás lehetősége, ami visszatartó erőt jelenthet.</w:t>
      </w:r>
    </w:p>
    <w:p w:rsidR="00471E74" w:rsidRPr="00E90FD5" w:rsidRDefault="00471E74" w:rsidP="00471E74">
      <w:pPr>
        <w:keepLines/>
        <w:autoSpaceDE w:val="0"/>
        <w:autoSpaceDN w:val="0"/>
        <w:adjustRightInd w:val="0"/>
        <w:jc w:val="both"/>
        <w:rPr>
          <w:lang w:eastAsia="ar-SA"/>
        </w:rPr>
      </w:pPr>
      <w:r w:rsidRPr="00E90FD5">
        <w:rPr>
          <w:b/>
          <w:lang w:eastAsia="ar-SA"/>
        </w:rPr>
        <w:t xml:space="preserve">1.2. </w:t>
      </w:r>
      <w:r w:rsidRPr="00E90FD5">
        <w:rPr>
          <w:lang w:eastAsia="ar-SA"/>
        </w:rPr>
        <w:t xml:space="preserve">A módosításnak </w:t>
      </w:r>
      <w:r w:rsidRPr="00E90FD5">
        <w:rPr>
          <w:b/>
          <w:lang w:eastAsia="ar-SA"/>
        </w:rPr>
        <w:t>gazdasági hatásával</w:t>
      </w:r>
      <w:r w:rsidRPr="00E90FD5">
        <w:rPr>
          <w:lang w:eastAsia="ar-SA"/>
        </w:rPr>
        <w:t xml:space="preserve"> nem számolhatunk.</w:t>
      </w:r>
    </w:p>
    <w:p w:rsidR="00471E74" w:rsidRPr="00E90FD5" w:rsidRDefault="00471E74" w:rsidP="00471E74">
      <w:pPr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E90FD5">
        <w:rPr>
          <w:b/>
          <w:lang w:eastAsia="ar-SA"/>
        </w:rPr>
        <w:t xml:space="preserve">1.3. </w:t>
      </w:r>
      <w:r w:rsidRPr="00E90FD5">
        <w:rPr>
          <w:lang w:eastAsia="ar-SA"/>
        </w:rPr>
        <w:t xml:space="preserve">A rendelet módosításának </w:t>
      </w:r>
      <w:r w:rsidRPr="00E90FD5">
        <w:rPr>
          <w:b/>
          <w:lang w:eastAsia="ar-SA"/>
        </w:rPr>
        <w:t>költségvetési kihatása:</w:t>
      </w:r>
      <w:r>
        <w:rPr>
          <w:color w:val="000000"/>
          <w:lang w:eastAsia="ar-SA"/>
        </w:rPr>
        <w:t xml:space="preserve"> a</w:t>
      </w:r>
      <w:r w:rsidRPr="00E90FD5">
        <w:rPr>
          <w:color w:val="000000"/>
          <w:lang w:eastAsia="ar-SA"/>
        </w:rPr>
        <w:t>z igazgatási bírság önkormányzatot megillető bevétel, amely adók módjára behajtható.</w:t>
      </w:r>
    </w:p>
    <w:p w:rsidR="00471E74" w:rsidRPr="00E90FD5" w:rsidRDefault="00471E74" w:rsidP="00471E74">
      <w:pPr>
        <w:keepLines/>
        <w:jc w:val="both"/>
        <w:rPr>
          <w:b/>
          <w:lang w:eastAsia="ar-SA"/>
        </w:rPr>
      </w:pPr>
      <w:smartTag w:uri="urn:schemas-microsoft-com:office:smarttags" w:element="metricconverter">
        <w:smartTagPr>
          <w:attr w:name="ProductID" w:val="2. A"/>
        </w:smartTagPr>
        <w:r w:rsidRPr="00E90FD5">
          <w:rPr>
            <w:b/>
            <w:lang w:eastAsia="ar-SA"/>
          </w:rPr>
          <w:t>2.A</w:t>
        </w:r>
      </w:smartTag>
      <w:r w:rsidRPr="00E90FD5">
        <w:rPr>
          <w:b/>
          <w:lang w:eastAsia="ar-SA"/>
        </w:rPr>
        <w:t xml:space="preserve"> módosításnak környezeti és egészségügyi következményei:</w:t>
      </w:r>
    </w:p>
    <w:p w:rsidR="00471E74" w:rsidRPr="00E90FD5" w:rsidRDefault="00471E74" w:rsidP="00471E74">
      <w:pPr>
        <w:keepLines/>
        <w:jc w:val="both"/>
        <w:rPr>
          <w:lang w:eastAsia="ar-SA"/>
        </w:rPr>
      </w:pPr>
      <w:r w:rsidRPr="00E90FD5">
        <w:rPr>
          <w:lang w:eastAsia="ar-SA"/>
        </w:rPr>
        <w:t xml:space="preserve">A környezeti és egészségügyi következmény a rendelet köztisztaság fenntartásával kapcsolatosan rendelkezései vonatkozásában realizálható. A közvetlen szankcionálás lehetősége megkönnyíti a jogkövető magatartás ösztönzését. </w:t>
      </w:r>
    </w:p>
    <w:p w:rsidR="00471E74" w:rsidRPr="00E90FD5" w:rsidRDefault="00471E74" w:rsidP="00471E74">
      <w:pPr>
        <w:keepLines/>
        <w:jc w:val="both"/>
        <w:rPr>
          <w:lang w:eastAsia="ar-SA"/>
        </w:rPr>
      </w:pPr>
      <w:r w:rsidRPr="00E90FD5">
        <w:rPr>
          <w:b/>
          <w:lang w:eastAsia="ar-SA"/>
        </w:rPr>
        <w:t>3. Az adminisztratív terheket befolyásoló hatása:</w:t>
      </w:r>
    </w:p>
    <w:p w:rsidR="00471E74" w:rsidRPr="00E90FD5" w:rsidRDefault="00471E74" w:rsidP="00471E74">
      <w:pPr>
        <w:keepLines/>
        <w:jc w:val="both"/>
        <w:rPr>
          <w:lang w:eastAsia="ar-SA"/>
        </w:rPr>
      </w:pPr>
      <w:r w:rsidRPr="00E90FD5">
        <w:rPr>
          <w:lang w:eastAsia="ar-SA"/>
        </w:rPr>
        <w:t>A közigazgatási bírság kiszabásával és végrehajtásával kapcsolatos eljárás</w:t>
      </w:r>
      <w:r>
        <w:rPr>
          <w:lang w:eastAsia="ar-SA"/>
        </w:rPr>
        <w:t>t a jegyző folytatja le.</w:t>
      </w:r>
      <w:r w:rsidRPr="00E90FD5">
        <w:rPr>
          <w:lang w:eastAsia="ar-SA"/>
        </w:rPr>
        <w:t xml:space="preserve">  </w:t>
      </w:r>
    </w:p>
    <w:p w:rsidR="00471E74" w:rsidRPr="00E90FD5" w:rsidRDefault="00471E74" w:rsidP="00471E74">
      <w:pPr>
        <w:keepLines/>
        <w:jc w:val="both"/>
        <w:rPr>
          <w:b/>
          <w:lang w:eastAsia="ar-SA"/>
        </w:rPr>
      </w:pPr>
      <w:smartTag w:uri="urn:schemas-microsoft-com:office:smarttags" w:element="metricconverter">
        <w:smartTagPr>
          <w:attr w:name="ProductID" w:val="4. A"/>
        </w:smartTagPr>
        <w:r w:rsidRPr="00E90FD5">
          <w:rPr>
            <w:b/>
            <w:lang w:eastAsia="ar-SA"/>
          </w:rPr>
          <w:t>4. A</w:t>
        </w:r>
      </w:smartTag>
      <w:r w:rsidRPr="00E90FD5">
        <w:rPr>
          <w:b/>
          <w:lang w:eastAsia="ar-SA"/>
        </w:rPr>
        <w:t xml:space="preserve"> jogszabály megalkotásának szükségessége, a jogalkotás elmaradásának várható következményei:</w:t>
      </w:r>
    </w:p>
    <w:p w:rsidR="00471E74" w:rsidRPr="00E90FD5" w:rsidRDefault="00471E74" w:rsidP="00471E74">
      <w:pPr>
        <w:keepLines/>
        <w:jc w:val="both"/>
        <w:rPr>
          <w:b/>
          <w:lang w:eastAsia="ar-SA"/>
        </w:rPr>
      </w:pPr>
      <w:r w:rsidRPr="00E90FD5">
        <w:rPr>
          <w:color w:val="000000"/>
          <w:lang w:eastAsia="ar-SA"/>
        </w:rPr>
        <w:t>Magyarországi helyi önkormányzatokról szóló 2011. évi CLXXXIX. törvény 143. § (4) bekezdés d) pontja</w:t>
      </w:r>
      <w:r w:rsidRPr="00E90FD5">
        <w:rPr>
          <w:lang w:eastAsia="ar-SA"/>
        </w:rPr>
        <w:t xml:space="preserve"> lévő felhatalmazása alapján az önkormányzatnak rendeletalkotási lehetősége van. Mivel ez csupán lehetőség a rendelet alkotás elmaradásának a kormányhivatal részéről történő törvényességi következménye nincs. Azonban a rendelet alkotás elmaradása esetén szankcionálás nélkül maradnak a korábban az egyes önkormányzati rendeletekben meghatározott kötelezettségek, mulasztások és a közösségi együttélést sértő magatartások.</w:t>
      </w:r>
    </w:p>
    <w:p w:rsidR="00471E74" w:rsidRPr="00E90FD5" w:rsidRDefault="00471E74" w:rsidP="00471E74">
      <w:pPr>
        <w:keepLines/>
        <w:jc w:val="both"/>
        <w:rPr>
          <w:lang w:eastAsia="ar-SA"/>
        </w:rPr>
      </w:pPr>
      <w:smartTag w:uri="urn:schemas-microsoft-com:office:smarttags" w:element="metricconverter">
        <w:smartTagPr>
          <w:attr w:name="ProductID" w:val="5. A"/>
        </w:smartTagPr>
        <w:r w:rsidRPr="00E90FD5">
          <w:rPr>
            <w:b/>
            <w:lang w:eastAsia="ar-SA"/>
          </w:rPr>
          <w:lastRenderedPageBreak/>
          <w:t>5. A</w:t>
        </w:r>
      </w:smartTag>
      <w:r w:rsidRPr="00E90FD5">
        <w:rPr>
          <w:b/>
          <w:lang w:eastAsia="ar-SA"/>
        </w:rPr>
        <w:t xml:space="preserve"> jogszabály alkalmazásához szükséges személyi, szervezeti, tárgyi és pénzügyi feltételek: </w:t>
      </w:r>
      <w:r w:rsidRPr="00E90FD5">
        <w:rPr>
          <w:lang w:eastAsia="ar-SA"/>
        </w:rPr>
        <w:t xml:space="preserve">A tárgyi, pénzügyi feltételek rendelkezésre állnak. Személyi feltételek </w:t>
      </w:r>
      <w:proofErr w:type="spellStart"/>
      <w:r w:rsidRPr="00E90FD5">
        <w:rPr>
          <w:lang w:eastAsia="ar-SA"/>
        </w:rPr>
        <w:t>lsd</w:t>
      </w:r>
      <w:proofErr w:type="spellEnd"/>
      <w:r w:rsidRPr="00E90FD5">
        <w:rPr>
          <w:lang w:eastAsia="ar-SA"/>
        </w:rPr>
        <w:t>. 3. pont.</w:t>
      </w:r>
    </w:p>
    <w:p w:rsidR="000F38E9" w:rsidRPr="00CA4942" w:rsidRDefault="000F38E9" w:rsidP="000F38E9">
      <w:pPr>
        <w:pStyle w:val="NormlWeb"/>
        <w:spacing w:after="0"/>
        <w:jc w:val="both"/>
        <w:rPr>
          <w:rFonts w:asciiTheme="minorHAnsi" w:hAnsiTheme="minorHAnsi"/>
          <w:sz w:val="22"/>
          <w:szCs w:val="22"/>
        </w:rPr>
      </w:pPr>
      <w:r w:rsidRPr="00CA4942">
        <w:rPr>
          <w:rFonts w:asciiTheme="minorHAnsi" w:hAnsiTheme="minorHAnsi" w:cs="Arial"/>
          <w:sz w:val="22"/>
          <w:szCs w:val="22"/>
        </w:rPr>
        <w:t xml:space="preserve">Kérem Tisztelt Képviselőket az előterjesztés megtárgyalására és a rendelet elfogadására. </w:t>
      </w:r>
    </w:p>
    <w:p w:rsidR="00471E74" w:rsidRDefault="00471E74" w:rsidP="000F38E9">
      <w:pPr>
        <w:pStyle w:val="NormlWeb"/>
        <w:spacing w:after="0"/>
        <w:jc w:val="both"/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</w:pPr>
    </w:p>
    <w:p w:rsidR="000F38E9" w:rsidRPr="00CA4942" w:rsidRDefault="000F38E9" w:rsidP="000F38E9">
      <w:pPr>
        <w:pStyle w:val="NormlWeb"/>
        <w:spacing w:after="0"/>
        <w:jc w:val="both"/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</w:pPr>
      <w:r w:rsidRPr="00CA4942"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 xml:space="preserve">Csemő, 2019. </w:t>
      </w:r>
      <w:proofErr w:type="spellStart"/>
      <w:proofErr w:type="gramStart"/>
      <w:r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>március</w:t>
      </w:r>
      <w:proofErr w:type="spellEnd"/>
      <w:proofErr w:type="gramEnd"/>
      <w:r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 xml:space="preserve"> 20.</w:t>
      </w:r>
    </w:p>
    <w:p w:rsidR="000F38E9" w:rsidRPr="00CA4942" w:rsidRDefault="000F38E9" w:rsidP="000F38E9">
      <w:pPr>
        <w:widowControl w:val="0"/>
        <w:spacing w:after="0"/>
        <w:rPr>
          <w:rFonts w:asciiTheme="minorHAnsi" w:eastAsia="Times New Roman" w:hAnsiTheme="minorHAnsi"/>
          <w:kern w:val="2"/>
          <w:lang w:val="en-US" w:eastAsia="zh-CN"/>
        </w:rPr>
      </w:pPr>
    </w:p>
    <w:p w:rsidR="000F38E9" w:rsidRPr="00CA4942" w:rsidRDefault="000F38E9" w:rsidP="000F38E9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CA4942"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</w:t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  <w:t xml:space="preserve">Dr. Lakos Roland </w:t>
      </w:r>
    </w:p>
    <w:p w:rsidR="000F38E9" w:rsidRPr="00471E74" w:rsidRDefault="000F38E9" w:rsidP="00471E74">
      <w:pPr>
        <w:spacing w:after="0" w:line="240" w:lineRule="auto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CA4942"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   </w:t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  <w:t xml:space="preserve">   </w:t>
      </w:r>
      <w:proofErr w:type="spellStart"/>
      <w:proofErr w:type="gramStart"/>
      <w:r w:rsidRPr="00CA4942">
        <w:rPr>
          <w:rFonts w:asciiTheme="minorHAnsi" w:eastAsia="Times New Roman" w:hAnsiTheme="minorHAnsi"/>
          <w:kern w:val="2"/>
          <w:lang w:val="en-US" w:eastAsia="zh-CN"/>
        </w:rPr>
        <w:t>polgármester</w:t>
      </w:r>
      <w:proofErr w:type="spellEnd"/>
      <w:proofErr w:type="gramEnd"/>
    </w:p>
    <w:p w:rsidR="000F38E9" w:rsidRPr="00CA4942" w:rsidRDefault="000F38E9" w:rsidP="000F38E9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0F38E9" w:rsidRPr="00CA4942" w:rsidRDefault="000F38E9" w:rsidP="000F38E9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0F38E9" w:rsidRPr="00CA4942" w:rsidRDefault="000F38E9" w:rsidP="000F38E9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0F38E9" w:rsidRPr="00CA4942" w:rsidRDefault="000F38E9" w:rsidP="000F38E9">
      <w:pPr>
        <w:rPr>
          <w:rFonts w:asciiTheme="minorHAnsi" w:hAnsiTheme="minorHAnsi"/>
        </w:rPr>
      </w:pPr>
    </w:p>
    <w:p w:rsidR="00C21F2A" w:rsidRDefault="00955ED4"/>
    <w:sectPr w:rsidR="00C21F2A" w:rsidSect="00471E7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092" w:rsidRDefault="00422092">
      <w:pPr>
        <w:spacing w:after="0" w:line="240" w:lineRule="auto"/>
      </w:pPr>
      <w:r>
        <w:separator/>
      </w:r>
    </w:p>
  </w:endnote>
  <w:endnote w:type="continuationSeparator" w:id="0">
    <w:p w:rsidR="00422092" w:rsidRDefault="00422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0F38E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ED4">
          <w:rPr>
            <w:noProof/>
          </w:rPr>
          <w:t>3</w:t>
        </w:r>
        <w:r>
          <w:fldChar w:fldCharType="end"/>
        </w:r>
      </w:p>
    </w:sdtContent>
  </w:sdt>
  <w:p w:rsidR="00522EFD" w:rsidRDefault="00955ED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092" w:rsidRDefault="00422092">
      <w:pPr>
        <w:spacing w:after="0" w:line="240" w:lineRule="auto"/>
      </w:pPr>
      <w:r>
        <w:separator/>
      </w:r>
    </w:p>
  </w:footnote>
  <w:footnote w:type="continuationSeparator" w:id="0">
    <w:p w:rsidR="00422092" w:rsidRDefault="00422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955ED4">
    <w:pPr>
      <w:pStyle w:val="lfej"/>
    </w:pPr>
  </w:p>
  <w:p w:rsidR="001604D1" w:rsidRDefault="00955ED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5A8"/>
    <w:multiLevelType w:val="multilevel"/>
    <w:tmpl w:val="1F70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0105F8"/>
    <w:multiLevelType w:val="hybridMultilevel"/>
    <w:tmpl w:val="DF9011A2"/>
    <w:lvl w:ilvl="0" w:tplc="A20651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429B3"/>
    <w:multiLevelType w:val="multilevel"/>
    <w:tmpl w:val="D8AE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F008C"/>
    <w:multiLevelType w:val="hybridMultilevel"/>
    <w:tmpl w:val="3ECC7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E472E"/>
    <w:multiLevelType w:val="hybridMultilevel"/>
    <w:tmpl w:val="C13818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E9"/>
    <w:rsid w:val="000F38E9"/>
    <w:rsid w:val="00422092"/>
    <w:rsid w:val="00471E74"/>
    <w:rsid w:val="005D30C9"/>
    <w:rsid w:val="008A5908"/>
    <w:rsid w:val="00947367"/>
    <w:rsid w:val="00955ED4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2F383-4B68-4373-844F-2D6C73E2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38E9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F38E9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F38E9"/>
    <w:pPr>
      <w:ind w:left="720"/>
      <w:contextualSpacing/>
    </w:pPr>
  </w:style>
  <w:style w:type="table" w:styleId="Rcsostblzat">
    <w:name w:val="Table Grid"/>
    <w:basedOn w:val="Normltblzat"/>
    <w:uiPriority w:val="39"/>
    <w:rsid w:val="000F38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F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38E9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0F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38E9"/>
    <w:rPr>
      <w:rFonts w:ascii="Calibri" w:eastAsia="Calibri" w:hAnsi="Calibri" w:cs="Calibri"/>
    </w:rPr>
  </w:style>
  <w:style w:type="character" w:styleId="Kiemels2">
    <w:name w:val="Strong"/>
    <w:basedOn w:val="Bekezdsalapbettpusa"/>
    <w:uiPriority w:val="22"/>
    <w:qFormat/>
    <w:rsid w:val="000F38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672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3</cp:revision>
  <dcterms:created xsi:type="dcterms:W3CDTF">2019-03-20T12:43:00Z</dcterms:created>
  <dcterms:modified xsi:type="dcterms:W3CDTF">2019-03-20T12:55:00Z</dcterms:modified>
</cp:coreProperties>
</file>