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spacing w:after="0"/>
        <w:rPr>
          <w:rFonts w:asciiTheme="minorHAnsi" w:hAnsiTheme="minorHAnsi" w:cstheme="minorHAnsi"/>
        </w:rPr>
      </w:pPr>
    </w:p>
    <w:p w:rsidR="00AE2FF5" w:rsidRPr="007C4447" w:rsidRDefault="00AE2FF5" w:rsidP="00AE2FF5">
      <w:pPr>
        <w:spacing w:after="0"/>
        <w:rPr>
          <w:rFonts w:asciiTheme="minorHAnsi" w:hAnsiTheme="minorHAnsi" w:cstheme="minorHAnsi"/>
        </w:rPr>
      </w:pPr>
    </w:p>
    <w:p w:rsidR="00AE2FF5" w:rsidRPr="007C4447" w:rsidRDefault="00AE2FF5" w:rsidP="00AE2FF5">
      <w:pPr>
        <w:spacing w:after="0"/>
        <w:rPr>
          <w:rFonts w:asciiTheme="minorHAnsi" w:hAnsiTheme="minorHAnsi" w:cstheme="minorHAnsi"/>
        </w:rPr>
      </w:pPr>
    </w:p>
    <w:p w:rsidR="00AE2FF5" w:rsidRPr="007C4447" w:rsidRDefault="00AE2FF5" w:rsidP="00AE2FF5">
      <w:pPr>
        <w:autoSpaceDE w:val="0"/>
        <w:autoSpaceDN w:val="0"/>
        <w:adjustRightInd w:val="0"/>
        <w:spacing w:after="0" w:line="240" w:lineRule="auto"/>
        <w:rPr>
          <w:rFonts w:asciiTheme="minorHAnsi" w:hAnsiTheme="minorHAnsi" w:cstheme="minorHAnsi"/>
          <w:b/>
          <w:lang w:eastAsia="hu-HU"/>
        </w:rPr>
      </w:pPr>
      <w:r w:rsidRPr="007C4447">
        <w:rPr>
          <w:rFonts w:asciiTheme="minorHAnsi" w:hAnsiTheme="minorHAnsi" w:cstheme="minorHAnsi"/>
          <w:noProof/>
          <w:lang w:eastAsia="hu-HU"/>
        </w:rPr>
        <w:drawing>
          <wp:anchor distT="0" distB="0" distL="114300" distR="114300" simplePos="0" relativeHeight="251659264" behindDoc="1" locked="0" layoutInCell="1" allowOverlap="1" wp14:anchorId="1670A7C9" wp14:editId="7AE184C3">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r w:rsidRPr="007C4447">
        <w:rPr>
          <w:rFonts w:asciiTheme="minorHAnsi" w:hAnsiTheme="minorHAnsi" w:cstheme="minorHAnsi"/>
          <w:b/>
        </w:rPr>
        <w:t xml:space="preserve">Tárgy: </w:t>
      </w:r>
      <w:r w:rsidRPr="007C4447">
        <w:rPr>
          <w:rFonts w:asciiTheme="minorHAnsi" w:hAnsiTheme="minorHAnsi" w:cstheme="minorHAnsi"/>
          <w:b/>
          <w:lang w:eastAsia="hu-HU"/>
        </w:rPr>
        <w:t>a pénzbeli és természetbeni szociális támogatások rendszeréről és gyermekvédelmi ellátásokról szóló rendelet megalkotásáról</w:t>
      </w:r>
    </w:p>
    <w:p w:rsidR="00AE2FF5" w:rsidRPr="007C4447" w:rsidRDefault="00AE2FF5" w:rsidP="00AE2FF5">
      <w:pPr>
        <w:spacing w:after="0"/>
        <w:ind w:left="2832"/>
        <w:rPr>
          <w:rFonts w:asciiTheme="minorHAnsi" w:hAnsiTheme="minorHAnsi" w:cstheme="minorHAnsi"/>
        </w:rPr>
      </w:pPr>
    </w:p>
    <w:p w:rsidR="00AE2FF5" w:rsidRPr="007C4447" w:rsidRDefault="00AE2FF5" w:rsidP="00AE2FF5">
      <w:pPr>
        <w:spacing w:after="0"/>
        <w:jc w:val="center"/>
        <w:rPr>
          <w:rFonts w:asciiTheme="minorHAnsi" w:hAnsiTheme="minorHAnsi" w:cstheme="minorHAnsi"/>
          <w:b/>
        </w:rPr>
      </w:pPr>
      <w:r w:rsidRPr="007C4447">
        <w:rPr>
          <w:rFonts w:asciiTheme="minorHAnsi" w:hAnsiTheme="minorHAnsi" w:cstheme="minorHAnsi"/>
          <w:b/>
        </w:rPr>
        <w:t xml:space="preserve">         </w:t>
      </w:r>
    </w:p>
    <w:p w:rsidR="00AE2FF5" w:rsidRPr="007C4447" w:rsidRDefault="00AE2FF5" w:rsidP="00AE2FF5">
      <w:pPr>
        <w:spacing w:after="0"/>
        <w:jc w:val="center"/>
        <w:rPr>
          <w:rFonts w:asciiTheme="minorHAnsi" w:hAnsiTheme="minorHAnsi" w:cstheme="minorHAnsi"/>
          <w:b/>
        </w:rPr>
      </w:pPr>
      <w:r w:rsidRPr="007C4447">
        <w:rPr>
          <w:rFonts w:asciiTheme="minorHAnsi" w:hAnsiTheme="minorHAnsi" w:cstheme="minorHAnsi"/>
          <w:b/>
        </w:rPr>
        <w:t xml:space="preserve">                                        </w:t>
      </w:r>
    </w:p>
    <w:p w:rsidR="00AE2FF5" w:rsidRPr="007C4447" w:rsidRDefault="00AE2FF5" w:rsidP="00AE2FF5">
      <w:pPr>
        <w:spacing w:after="0"/>
        <w:jc w:val="center"/>
        <w:rPr>
          <w:rFonts w:asciiTheme="minorHAnsi" w:hAnsiTheme="minorHAnsi" w:cstheme="minorHAnsi"/>
          <w:b/>
          <w:color w:val="000000"/>
          <w14:shadow w14:blurRad="50800" w14:dist="38100" w14:dir="2700000" w14:sx="100000" w14:sy="100000" w14:kx="0" w14:ky="0" w14:algn="tl">
            <w14:srgbClr w14:val="000000">
              <w14:alpha w14:val="60000"/>
            </w14:srgbClr>
          </w14:shadow>
        </w:rPr>
      </w:pPr>
      <w:r w:rsidRPr="007C4447">
        <w:rPr>
          <w:rFonts w:asciiTheme="minorHAnsi" w:hAnsiTheme="minorHAnsi" w:cstheme="minorHAnsi"/>
          <w:b/>
          <w:color w:val="000000"/>
          <w14:shadow w14:blurRad="50800" w14:dist="38100" w14:dir="2700000" w14:sx="100000" w14:sy="100000" w14:kx="0" w14:ky="0" w14:algn="tl">
            <w14:srgbClr w14:val="000000">
              <w14:alpha w14:val="60000"/>
            </w14:srgbClr>
          </w14:shadow>
        </w:rPr>
        <w:t>E L Ő T E R J E S Z T É S</w:t>
      </w:r>
    </w:p>
    <w:p w:rsidR="00AE2FF5" w:rsidRPr="007C4447" w:rsidRDefault="00AE2FF5" w:rsidP="00AE2FF5">
      <w:pPr>
        <w:spacing w:after="0"/>
        <w:jc w:val="center"/>
        <w:rPr>
          <w:rFonts w:asciiTheme="minorHAnsi" w:hAnsiTheme="minorHAnsi" w:cstheme="minorHAnsi"/>
          <w:b/>
          <w:color w:val="000000"/>
          <w14:shadow w14:blurRad="50800" w14:dist="38100" w14:dir="2700000" w14:sx="100000" w14:sy="100000" w14:kx="0" w14:ky="0" w14:algn="tl">
            <w14:srgbClr w14:val="000000">
              <w14:alpha w14:val="60000"/>
            </w14:srgbClr>
          </w14:shadow>
        </w:rPr>
      </w:pPr>
      <w:r w:rsidRPr="007C4447">
        <w:rPr>
          <w:rFonts w:asciiTheme="minorHAnsi" w:hAnsiTheme="minorHAnsi" w:cstheme="minorHAnsi"/>
          <w:b/>
          <w:color w:val="000000"/>
          <w14:shadow w14:blurRad="50800" w14:dist="38100" w14:dir="2700000" w14:sx="100000" w14:sy="100000" w14:kx="0" w14:ky="0" w14:algn="tl">
            <w14:srgbClr w14:val="000000">
              <w14:alpha w14:val="60000"/>
            </w14:srgbClr>
          </w14:shadow>
        </w:rPr>
        <w:t>Csemő Község Képviselő-testületének</w:t>
      </w:r>
    </w:p>
    <w:p w:rsidR="00AE2FF5" w:rsidRPr="007C4447" w:rsidRDefault="00AE2FF5" w:rsidP="00AE2FF5">
      <w:pPr>
        <w:spacing w:after="0"/>
        <w:jc w:val="center"/>
        <w:rPr>
          <w:rFonts w:asciiTheme="minorHAnsi" w:hAnsiTheme="minorHAnsi" w:cstheme="minorHAnsi"/>
          <w:b/>
          <w:color w:val="000000"/>
          <w14:shadow w14:blurRad="50800" w14:dist="38100" w14:dir="2700000" w14:sx="100000" w14:sy="100000" w14:kx="0" w14:ky="0" w14:algn="tl">
            <w14:srgbClr w14:val="000000">
              <w14:alpha w14:val="60000"/>
            </w14:srgbClr>
          </w14:shadow>
        </w:rPr>
      </w:pPr>
      <w:r w:rsidRPr="007C4447">
        <w:rPr>
          <w:rFonts w:asciiTheme="minorHAnsi" w:hAnsiTheme="minorHAnsi" w:cstheme="minorHAnsi"/>
          <w:b/>
          <w:color w:val="000000"/>
          <w14:shadow w14:blurRad="50800" w14:dist="38100" w14:dir="2700000" w14:sx="100000" w14:sy="100000" w14:kx="0" w14:ky="0" w14:algn="tl">
            <w14:srgbClr w14:val="000000">
              <w14:alpha w14:val="60000"/>
            </w14:srgbClr>
          </w14:shadow>
        </w:rPr>
        <w:t xml:space="preserve"> 2024. január 30-án tartandó ülésére</w:t>
      </w:r>
    </w:p>
    <w:p w:rsidR="00AE2FF5" w:rsidRPr="007C4447" w:rsidRDefault="00AE2FF5" w:rsidP="00AE2FF5">
      <w:pPr>
        <w:spacing w:after="0"/>
        <w:rPr>
          <w:rFonts w:asciiTheme="minorHAnsi" w:hAnsiTheme="minorHAnsi" w:cstheme="minorHAnsi"/>
        </w:rPr>
      </w:pPr>
      <w:r w:rsidRPr="007C4447">
        <w:rPr>
          <w:rFonts w:asciiTheme="minorHAnsi" w:hAnsiTheme="minorHAnsi" w:cstheme="minorHAnsi"/>
        </w:rPr>
        <w:t xml:space="preserve">                         </w:t>
      </w:r>
    </w:p>
    <w:p w:rsidR="00AE2FF5" w:rsidRPr="007C4447" w:rsidRDefault="00AE2FF5" w:rsidP="00AE2FF5">
      <w:pPr>
        <w:spacing w:after="0"/>
        <w:rPr>
          <w:rFonts w:asciiTheme="minorHAnsi" w:hAnsiTheme="minorHAnsi" w:cstheme="minorHAnsi"/>
        </w:rPr>
      </w:pPr>
      <w:r w:rsidRPr="007C4447">
        <w:rPr>
          <w:rFonts w:asciiTheme="minorHAnsi" w:hAnsiTheme="minorHAnsi" w:cstheme="minorHAnsi"/>
        </w:rPr>
        <w:t xml:space="preserve">                                                                                                                                          </w:t>
      </w:r>
    </w:p>
    <w:p w:rsidR="00AE2FF5" w:rsidRPr="007C4447" w:rsidRDefault="00AE2FF5" w:rsidP="00AE2FF5">
      <w:pPr>
        <w:tabs>
          <w:tab w:val="left" w:pos="0"/>
        </w:tabs>
        <w:spacing w:after="0"/>
        <w:rPr>
          <w:rFonts w:asciiTheme="minorHAnsi" w:hAnsiTheme="minorHAnsi" w:cstheme="minorHAnsi"/>
        </w:rPr>
      </w:pPr>
      <w:r w:rsidRPr="007C4447">
        <w:rPr>
          <w:rFonts w:asciiTheme="minorHAnsi" w:hAnsiTheme="minorHAnsi" w:cstheme="minorHAnsi"/>
        </w:rPr>
        <w:t xml:space="preserve">Tisztelt Képviselő-testület! </w:t>
      </w:r>
    </w:p>
    <w:p w:rsidR="00AE2FF5" w:rsidRPr="007C4447" w:rsidRDefault="00AE2FF5" w:rsidP="00AE2FF5">
      <w:pPr>
        <w:tabs>
          <w:tab w:val="left" w:pos="0"/>
        </w:tabs>
        <w:spacing w:after="0"/>
        <w:rPr>
          <w:rFonts w:asciiTheme="minorHAnsi" w:hAnsiTheme="minorHAnsi" w:cstheme="minorHAnsi"/>
        </w:rPr>
      </w:pPr>
    </w:p>
    <w:p w:rsidR="00AE2FF5" w:rsidRDefault="00AE2FF5" w:rsidP="00AE2FF5">
      <w:pPr>
        <w:jc w:val="both"/>
        <w:rPr>
          <w:rFonts w:asciiTheme="minorHAnsi" w:hAnsiTheme="minorHAnsi" w:cstheme="minorHAnsi"/>
          <w:lang w:eastAsia="hu-HU"/>
        </w:rPr>
      </w:pPr>
      <w:r w:rsidRPr="007C4447">
        <w:rPr>
          <w:rFonts w:asciiTheme="minorHAnsi" w:hAnsiTheme="minorHAnsi" w:cstheme="minorHAnsi"/>
          <w:color w:val="000000"/>
          <w:shd w:val="clear" w:color="auto" w:fill="FBFBFB"/>
        </w:rPr>
        <w:t>A Képviselő-testül</w:t>
      </w:r>
      <w:r w:rsidR="003E6110">
        <w:rPr>
          <w:rFonts w:asciiTheme="minorHAnsi" w:hAnsiTheme="minorHAnsi" w:cstheme="minorHAnsi"/>
          <w:color w:val="000000"/>
          <w:shd w:val="clear" w:color="auto" w:fill="FBFBFB"/>
        </w:rPr>
        <w:t xml:space="preserve">et 2023. januárjában </w:t>
      </w:r>
      <w:r w:rsidRPr="007C4447">
        <w:rPr>
          <w:rFonts w:asciiTheme="minorHAnsi" w:hAnsiTheme="minorHAnsi" w:cstheme="minorHAnsi"/>
          <w:color w:val="000000"/>
          <w:shd w:val="clear" w:color="auto" w:fill="FBFBFB"/>
        </w:rPr>
        <w:t xml:space="preserve">fogadta el </w:t>
      </w:r>
      <w:r w:rsidRPr="003E6110">
        <w:rPr>
          <w:rFonts w:asciiTheme="minorHAnsi" w:hAnsiTheme="minorHAnsi" w:cstheme="minorHAnsi"/>
          <w:lang w:eastAsia="hu-HU"/>
        </w:rPr>
        <w:t xml:space="preserve">a pénzbeli és természetbeni szociális támogatások rendszeréről és gyermekvédelmi ellátásokról szóló rendeletét, amely 2023. február 02-án lépett hatályba. </w:t>
      </w:r>
    </w:p>
    <w:p w:rsidR="003E4296" w:rsidRPr="003E6110" w:rsidRDefault="003E4296" w:rsidP="00AE2FF5">
      <w:pPr>
        <w:jc w:val="both"/>
        <w:rPr>
          <w:rFonts w:asciiTheme="minorHAnsi" w:hAnsiTheme="minorHAnsi" w:cstheme="minorHAnsi"/>
          <w:lang w:eastAsia="hu-HU"/>
        </w:rPr>
      </w:pPr>
    </w:p>
    <w:p w:rsidR="00AE2FF5" w:rsidRDefault="00AE2FF5" w:rsidP="00AE2FF5">
      <w:pPr>
        <w:jc w:val="both"/>
        <w:rPr>
          <w:rFonts w:asciiTheme="minorHAnsi" w:hAnsiTheme="minorHAnsi" w:cstheme="minorHAnsi"/>
          <w:b/>
          <w:lang w:eastAsia="hu-HU"/>
        </w:rPr>
      </w:pPr>
      <w:r w:rsidRPr="007C4447">
        <w:rPr>
          <w:rFonts w:asciiTheme="minorHAnsi" w:hAnsiTheme="minorHAnsi" w:cstheme="minorHAnsi"/>
          <w:b/>
          <w:lang w:eastAsia="hu-HU"/>
        </w:rPr>
        <w:t>Az új rendelet megalkotásának szükségességét az alábbiakkal indokolom:</w:t>
      </w:r>
    </w:p>
    <w:p w:rsidR="003E4296" w:rsidRPr="007C4447" w:rsidRDefault="003E4296" w:rsidP="00AE2FF5">
      <w:pPr>
        <w:jc w:val="both"/>
        <w:rPr>
          <w:rFonts w:asciiTheme="minorHAnsi" w:hAnsiTheme="minorHAnsi" w:cstheme="minorHAnsi"/>
          <w:b/>
          <w:lang w:eastAsia="hu-HU"/>
        </w:rPr>
      </w:pPr>
    </w:p>
    <w:p w:rsidR="00AE2FF5" w:rsidRPr="007C4447" w:rsidRDefault="00AE2FF5" w:rsidP="00AE2FF5">
      <w:pPr>
        <w:pStyle w:val="Listaszerbekezds"/>
        <w:numPr>
          <w:ilvl w:val="0"/>
          <w:numId w:val="4"/>
        </w:numPr>
        <w:jc w:val="both"/>
        <w:rPr>
          <w:rFonts w:asciiTheme="minorHAnsi" w:hAnsiTheme="minorHAnsi" w:cstheme="minorHAnsi"/>
          <w:b/>
          <w:lang w:eastAsia="hu-HU"/>
        </w:rPr>
      </w:pPr>
      <w:r w:rsidRPr="007C4447">
        <w:rPr>
          <w:rFonts w:asciiTheme="minorHAnsi" w:hAnsiTheme="minorHAnsi" w:cstheme="minorHAnsi"/>
          <w:b/>
          <w:lang w:eastAsia="hu-HU"/>
        </w:rPr>
        <w:t>Szociális vetítési alap fogalmának bevezetése</w:t>
      </w:r>
    </w:p>
    <w:p w:rsidR="00AE2FF5" w:rsidRPr="007C4447" w:rsidRDefault="00AE2FF5" w:rsidP="008B5C35">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sidRPr="007C4447">
        <w:rPr>
          <w:rFonts w:asciiTheme="minorHAnsi" w:hAnsiTheme="minorHAnsi" w:cstheme="minorHAnsi"/>
          <w:color w:val="222222"/>
          <w:sz w:val="22"/>
          <w:szCs w:val="22"/>
        </w:rPr>
        <w:t>A szociális területen az öregségi nyugdíjminimumot, mint viszonyszámot felváltotta a szociális vetítési alap fogalma. Az öregségi nyugdíjminimum elsősorban a nyugdíj szakágazat mutatószáma, amelyet a társadalombiztosítási nyugellátásokhoz kapcsolódóan használnak. A szakmai irányító minisztérium szerint indokolt volt egy olyan viszonyítási alap létrehozása szociális területen, amely figyelembe veszi majd a szakterület sajátosságait. Ezzel célzottabb lesz a támogatások és juttatások megállapítása.</w:t>
      </w:r>
    </w:p>
    <w:p w:rsidR="008B5C35" w:rsidRPr="007C4447" w:rsidRDefault="00AE2FF5" w:rsidP="008B5C35">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sidRPr="007C4447">
        <w:rPr>
          <w:rFonts w:asciiTheme="minorHAnsi" w:hAnsiTheme="minorHAnsi" w:cstheme="minorHAnsi"/>
          <w:color w:val="222222"/>
          <w:sz w:val="22"/>
          <w:szCs w:val="22"/>
        </w:rPr>
        <w:t xml:space="preserve">A szociális vetítési alap bevezetésével összefüggésben </w:t>
      </w:r>
      <w:r w:rsidR="008B5C35" w:rsidRPr="007C4447">
        <w:rPr>
          <w:rFonts w:asciiTheme="minorHAnsi" w:hAnsiTheme="minorHAnsi" w:cstheme="minorHAnsi"/>
          <w:color w:val="222222"/>
          <w:sz w:val="22"/>
          <w:szCs w:val="22"/>
        </w:rPr>
        <w:t>szükséges volt a szociális rendeletünk felülvizsgálata, mivel rendeletünk az egyes szociális juttatások igénybevételének feltételéül előírt jövedelemhatárokat az öregségi nyugdíjminimum összegéhez viszonyítva határozta meg, ezek a jövőben a szociális vetítési alaphoz viszonyulnak.</w:t>
      </w:r>
    </w:p>
    <w:p w:rsidR="00D57AC2" w:rsidRPr="007C4447" w:rsidRDefault="00BD1ABD" w:rsidP="008B5C35">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sidRPr="007C4447">
        <w:rPr>
          <w:rFonts w:asciiTheme="minorHAnsi" w:hAnsiTheme="minorHAnsi" w:cstheme="minorHAnsi"/>
          <w:color w:val="222222"/>
          <w:sz w:val="22"/>
          <w:szCs w:val="22"/>
        </w:rPr>
        <w:t>A szociális vetítési alap összege jelenleg megegyezik az öregségi nyugdíjminimum összegével: 28.500</w:t>
      </w:r>
      <w:r w:rsidR="006D115B" w:rsidRPr="007C4447">
        <w:rPr>
          <w:rFonts w:asciiTheme="minorHAnsi" w:hAnsiTheme="minorHAnsi" w:cstheme="minorHAnsi"/>
          <w:color w:val="222222"/>
          <w:sz w:val="22"/>
          <w:szCs w:val="22"/>
        </w:rPr>
        <w:t>.-</w:t>
      </w:r>
      <w:r w:rsidRPr="007C4447">
        <w:rPr>
          <w:rFonts w:asciiTheme="minorHAnsi" w:hAnsiTheme="minorHAnsi" w:cstheme="minorHAnsi"/>
          <w:color w:val="222222"/>
          <w:sz w:val="22"/>
          <w:szCs w:val="22"/>
        </w:rPr>
        <w:t xml:space="preserve"> Ft.</w:t>
      </w:r>
    </w:p>
    <w:p w:rsidR="00BD1ABD" w:rsidRPr="003E6110" w:rsidRDefault="007C4447" w:rsidP="00BD1ABD">
      <w:pPr>
        <w:pStyle w:val="NormlWeb"/>
        <w:numPr>
          <w:ilvl w:val="0"/>
          <w:numId w:val="4"/>
        </w:numPr>
        <w:shd w:val="clear" w:color="auto" w:fill="FFFFFF"/>
        <w:spacing w:before="0" w:beforeAutospacing="0" w:after="360" w:afterAutospacing="0"/>
        <w:jc w:val="both"/>
        <w:textAlignment w:val="baseline"/>
        <w:rPr>
          <w:rFonts w:asciiTheme="minorHAnsi" w:hAnsiTheme="minorHAnsi" w:cstheme="minorHAnsi"/>
          <w:b/>
          <w:color w:val="222222"/>
          <w:sz w:val="22"/>
          <w:szCs w:val="22"/>
        </w:rPr>
      </w:pPr>
      <w:r w:rsidRPr="003E6110">
        <w:rPr>
          <w:rFonts w:asciiTheme="minorHAnsi" w:hAnsiTheme="minorHAnsi" w:cstheme="minorHAnsi"/>
          <w:b/>
          <w:color w:val="222222"/>
          <w:sz w:val="22"/>
          <w:szCs w:val="22"/>
        </w:rPr>
        <w:t>Egyes támogatási formák megszüntetése, új ellátások bevezetése</w:t>
      </w:r>
    </w:p>
    <w:p w:rsidR="007C4447" w:rsidRDefault="003E4296" w:rsidP="003E4296">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A hatályos</w:t>
      </w:r>
      <w:r w:rsidR="00157F9E">
        <w:rPr>
          <w:rFonts w:asciiTheme="minorHAnsi" w:hAnsiTheme="minorHAnsi" w:cstheme="minorHAnsi"/>
          <w:color w:val="222222"/>
          <w:sz w:val="22"/>
          <w:szCs w:val="22"/>
        </w:rPr>
        <w:t xml:space="preserve"> szociális rendeletben</w:t>
      </w:r>
      <w:r>
        <w:rPr>
          <w:rFonts w:asciiTheme="minorHAnsi" w:hAnsiTheme="minorHAnsi" w:cstheme="minorHAnsi"/>
          <w:color w:val="222222"/>
          <w:sz w:val="22"/>
          <w:szCs w:val="22"/>
        </w:rPr>
        <w:t xml:space="preserve">, valamint a </w:t>
      </w:r>
      <w:r w:rsidR="00157F9E">
        <w:rPr>
          <w:rFonts w:asciiTheme="minorHAnsi" w:hAnsiTheme="minorHAnsi" w:cstheme="minorHAnsi"/>
          <w:color w:val="222222"/>
          <w:sz w:val="22"/>
          <w:szCs w:val="22"/>
        </w:rPr>
        <w:t xml:space="preserve">szociális </w:t>
      </w:r>
      <w:r>
        <w:rPr>
          <w:rFonts w:asciiTheme="minorHAnsi" w:hAnsiTheme="minorHAnsi" w:cstheme="minorHAnsi"/>
          <w:color w:val="222222"/>
          <w:sz w:val="22"/>
          <w:szCs w:val="22"/>
        </w:rPr>
        <w:t xml:space="preserve">rendelet-tervezetben szabályozott </w:t>
      </w:r>
      <w:r w:rsidR="00157F9E">
        <w:rPr>
          <w:rFonts w:asciiTheme="minorHAnsi" w:hAnsiTheme="minorHAnsi" w:cstheme="minorHAnsi"/>
          <w:color w:val="222222"/>
          <w:sz w:val="22"/>
          <w:szCs w:val="22"/>
        </w:rPr>
        <w:t xml:space="preserve">támogatásokat </w:t>
      </w:r>
      <w:r>
        <w:rPr>
          <w:rFonts w:asciiTheme="minorHAnsi" w:hAnsiTheme="minorHAnsi" w:cstheme="minorHAnsi"/>
          <w:color w:val="222222"/>
          <w:sz w:val="22"/>
          <w:szCs w:val="22"/>
        </w:rPr>
        <w:t>az alábbi táblázat mutatja be:</w:t>
      </w:r>
    </w:p>
    <w:p w:rsidR="00471710" w:rsidRDefault="00471710" w:rsidP="007C4447">
      <w:pPr>
        <w:pStyle w:val="NormlWeb"/>
        <w:shd w:val="clear" w:color="auto" w:fill="FFFFFF"/>
        <w:spacing w:before="0" w:beforeAutospacing="0" w:after="360" w:afterAutospacing="0"/>
        <w:ind w:left="720"/>
        <w:jc w:val="both"/>
        <w:textAlignment w:val="baseline"/>
        <w:rPr>
          <w:rFonts w:asciiTheme="minorHAnsi" w:hAnsiTheme="minorHAnsi" w:cstheme="minorHAnsi"/>
          <w:color w:val="222222"/>
          <w:sz w:val="22"/>
          <w:szCs w:val="22"/>
        </w:rPr>
      </w:pPr>
    </w:p>
    <w:p w:rsidR="007C4447" w:rsidRPr="007C4447" w:rsidRDefault="007C4447" w:rsidP="007C4447">
      <w:pPr>
        <w:pStyle w:val="NormlWeb"/>
        <w:shd w:val="clear" w:color="auto" w:fill="FFFFFF"/>
        <w:spacing w:before="0" w:beforeAutospacing="0" w:after="360" w:afterAutospacing="0"/>
        <w:ind w:left="720"/>
        <w:jc w:val="both"/>
        <w:textAlignment w:val="baseline"/>
        <w:rPr>
          <w:rFonts w:asciiTheme="minorHAnsi" w:hAnsiTheme="minorHAnsi" w:cstheme="minorHAnsi"/>
          <w:color w:val="222222"/>
          <w:sz w:val="22"/>
          <w:szCs w:val="22"/>
        </w:rPr>
      </w:pPr>
    </w:p>
    <w:tbl>
      <w:tblPr>
        <w:tblStyle w:val="Rcsostblzat"/>
        <w:tblW w:w="0" w:type="auto"/>
        <w:tblLook w:val="04A0" w:firstRow="1" w:lastRow="0" w:firstColumn="1" w:lastColumn="0" w:noHBand="0" w:noVBand="1"/>
      </w:tblPr>
      <w:tblGrid>
        <w:gridCol w:w="3206"/>
        <w:gridCol w:w="2572"/>
        <w:gridCol w:w="2581"/>
      </w:tblGrid>
      <w:tr w:rsidR="003E4296" w:rsidTr="003E4296">
        <w:tc>
          <w:tcPr>
            <w:tcW w:w="3206" w:type="dxa"/>
          </w:tcPr>
          <w:p w:rsidR="003E4296" w:rsidRPr="007C4447" w:rsidRDefault="003E4296" w:rsidP="00C5030B">
            <w:pPr>
              <w:pStyle w:val="NormlWeb"/>
              <w:spacing w:before="0" w:beforeAutospacing="0" w:after="0" w:afterAutospacing="0"/>
              <w:jc w:val="center"/>
              <w:textAlignment w:val="baseline"/>
              <w:rPr>
                <w:rFonts w:asciiTheme="minorHAnsi" w:hAnsiTheme="minorHAnsi" w:cstheme="minorHAnsi"/>
                <w:b/>
                <w:color w:val="222222"/>
                <w:sz w:val="22"/>
                <w:szCs w:val="22"/>
              </w:rPr>
            </w:pPr>
            <w:r>
              <w:rPr>
                <w:rFonts w:asciiTheme="minorHAnsi" w:hAnsiTheme="minorHAnsi" w:cstheme="minorHAnsi"/>
                <w:b/>
                <w:color w:val="222222"/>
                <w:sz w:val="22"/>
                <w:szCs w:val="22"/>
              </w:rPr>
              <w:t xml:space="preserve">  Szociális ellátások</w:t>
            </w:r>
          </w:p>
        </w:tc>
        <w:tc>
          <w:tcPr>
            <w:tcW w:w="2572" w:type="dxa"/>
          </w:tcPr>
          <w:p w:rsidR="003E4296" w:rsidRPr="007C4447" w:rsidRDefault="003E4296" w:rsidP="00C5030B">
            <w:pPr>
              <w:pStyle w:val="NormlWeb"/>
              <w:spacing w:before="0" w:beforeAutospacing="0" w:after="0" w:afterAutospacing="0"/>
              <w:jc w:val="center"/>
              <w:textAlignment w:val="baseline"/>
              <w:rPr>
                <w:rFonts w:asciiTheme="minorHAnsi" w:hAnsiTheme="minorHAnsi" w:cstheme="minorHAnsi"/>
                <w:b/>
                <w:color w:val="222222"/>
                <w:sz w:val="22"/>
                <w:szCs w:val="22"/>
              </w:rPr>
            </w:pPr>
            <w:r>
              <w:rPr>
                <w:rFonts w:asciiTheme="minorHAnsi" w:hAnsiTheme="minorHAnsi" w:cstheme="minorHAnsi"/>
                <w:b/>
                <w:color w:val="222222"/>
                <w:sz w:val="22"/>
                <w:szCs w:val="22"/>
              </w:rPr>
              <w:t>Hatályos rendelet</w:t>
            </w:r>
          </w:p>
        </w:tc>
        <w:tc>
          <w:tcPr>
            <w:tcW w:w="2581" w:type="dxa"/>
          </w:tcPr>
          <w:p w:rsidR="003E4296" w:rsidRPr="007C4447" w:rsidRDefault="003E4296" w:rsidP="00C5030B">
            <w:pPr>
              <w:pStyle w:val="NormlWeb"/>
              <w:spacing w:before="0" w:beforeAutospacing="0" w:after="0" w:afterAutospacing="0"/>
              <w:jc w:val="center"/>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Rendelet tervezet</w:t>
            </w:r>
          </w:p>
        </w:tc>
      </w:tr>
      <w:tr w:rsidR="003E4296" w:rsidTr="003E4296">
        <w:trPr>
          <w:trHeight w:val="632"/>
        </w:trPr>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Rendkívüli települési támogatás</w:t>
            </w:r>
          </w:p>
        </w:tc>
        <w:tc>
          <w:tcPr>
            <w:tcW w:w="2572" w:type="dxa"/>
          </w:tcPr>
          <w:p w:rsidR="003E4296" w:rsidRPr="007C4447" w:rsidRDefault="003E4296" w:rsidP="00C5030B">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Lakhatás támogatásához való hozzájárulás</w:t>
            </w:r>
          </w:p>
        </w:tc>
        <w:tc>
          <w:tcPr>
            <w:tcW w:w="2572" w:type="dxa"/>
          </w:tcPr>
          <w:p w:rsidR="003E4296" w:rsidRPr="007C4447" w:rsidRDefault="003E4296" w:rsidP="00C5030B">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Ápolási célú települési támogatás</w:t>
            </w:r>
          </w:p>
        </w:tc>
        <w:tc>
          <w:tcPr>
            <w:tcW w:w="2572" w:type="dxa"/>
          </w:tcPr>
          <w:p w:rsidR="003E4296" w:rsidRPr="00157F9E" w:rsidRDefault="003E4296" w:rsidP="003E4296">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157F9E" w:rsidRDefault="00157F9E" w:rsidP="00C5030B">
            <w:pPr>
              <w:pStyle w:val="NormlWeb"/>
              <w:spacing w:before="0" w:beforeAutospacing="0" w:after="0" w:afterAutospacing="0"/>
              <w:jc w:val="center"/>
              <w:textAlignment w:val="baseline"/>
              <w:rPr>
                <w:rFonts w:asciiTheme="minorHAnsi" w:hAnsiTheme="minorHAnsi" w:cstheme="minorHAnsi"/>
                <w:b/>
                <w:color w:val="FF0000"/>
                <w:sz w:val="48"/>
                <w:szCs w:val="48"/>
              </w:rPr>
            </w:pPr>
            <w:r w:rsidRPr="00157F9E">
              <w:rPr>
                <w:rFonts w:asciiTheme="minorHAnsi" w:hAnsiTheme="minorHAnsi" w:cstheme="minorHAnsi"/>
                <w:b/>
                <w:color w:val="FF0000"/>
                <w:sz w:val="48"/>
                <w:szCs w:val="48"/>
              </w:rPr>
              <w:t>-</w:t>
            </w: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Kamatmentes kölcsön</w:t>
            </w:r>
          </w:p>
        </w:tc>
        <w:tc>
          <w:tcPr>
            <w:tcW w:w="2572" w:type="dxa"/>
          </w:tcPr>
          <w:p w:rsidR="003E4296" w:rsidRPr="00157F9E" w:rsidRDefault="003E4296" w:rsidP="003E4296">
            <w:pPr>
              <w:pStyle w:val="NormlWeb"/>
              <w:numPr>
                <w:ilvl w:val="0"/>
                <w:numId w:val="5"/>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157F9E" w:rsidRDefault="00157F9E" w:rsidP="00C5030B">
            <w:pPr>
              <w:pStyle w:val="NormlWeb"/>
              <w:spacing w:before="0" w:beforeAutospacing="0" w:after="0" w:afterAutospacing="0"/>
              <w:jc w:val="center"/>
              <w:textAlignment w:val="baseline"/>
              <w:rPr>
                <w:rFonts w:asciiTheme="minorHAnsi" w:hAnsiTheme="minorHAnsi" w:cstheme="minorHAnsi"/>
                <w:b/>
                <w:color w:val="FF0000"/>
                <w:sz w:val="48"/>
                <w:szCs w:val="48"/>
              </w:rPr>
            </w:pPr>
            <w:r w:rsidRPr="00157F9E">
              <w:rPr>
                <w:rFonts w:asciiTheme="minorHAnsi" w:hAnsiTheme="minorHAnsi" w:cstheme="minorHAnsi"/>
                <w:b/>
                <w:color w:val="FF0000"/>
                <w:sz w:val="48"/>
                <w:szCs w:val="48"/>
              </w:rPr>
              <w:t>-</w:t>
            </w: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Az elhunyt hozzátartozó temetési költségeihez való hozzájárulás</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Köztemetés</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Babaköszöntő pénzbeli támogatás</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Általános iskolások ösztöndíj támogatása</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Középfokú oktatási intézménybe járók ösztöndíj támogatása</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7C4447" w:rsidRDefault="003E4296" w:rsidP="00C5030B">
            <w:pPr>
              <w:pStyle w:val="NormlWeb"/>
              <w:spacing w:before="0" w:beforeAutospacing="0" w:after="0" w:afterAutospacing="0"/>
              <w:textAlignment w:val="baseline"/>
              <w:rPr>
                <w:rFonts w:asciiTheme="minorHAnsi" w:hAnsiTheme="minorHAnsi" w:cstheme="minorHAnsi"/>
                <w:b/>
                <w:color w:val="222222"/>
                <w:sz w:val="22"/>
                <w:szCs w:val="22"/>
              </w:rPr>
            </w:pPr>
            <w:r w:rsidRPr="007C4447">
              <w:rPr>
                <w:rFonts w:asciiTheme="minorHAnsi" w:hAnsiTheme="minorHAnsi" w:cstheme="minorHAnsi"/>
                <w:b/>
                <w:color w:val="222222"/>
                <w:sz w:val="22"/>
                <w:szCs w:val="22"/>
              </w:rPr>
              <w:t>Karácsonyi támogatás</w:t>
            </w:r>
          </w:p>
        </w:tc>
        <w:tc>
          <w:tcPr>
            <w:tcW w:w="2572"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c>
          <w:tcPr>
            <w:tcW w:w="2581" w:type="dxa"/>
          </w:tcPr>
          <w:p w:rsidR="003E4296" w:rsidRPr="007C4447" w:rsidRDefault="003E4296" w:rsidP="00C5030B">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3E4296" w:rsidRDefault="003E4296" w:rsidP="003E4296">
            <w:pPr>
              <w:pStyle w:val="NormlWeb"/>
              <w:spacing w:before="0" w:beforeAutospacing="0" w:after="0" w:afterAutospacing="0"/>
              <w:textAlignment w:val="baseline"/>
              <w:rPr>
                <w:rFonts w:asciiTheme="minorHAnsi" w:hAnsiTheme="minorHAnsi" w:cstheme="minorHAnsi"/>
                <w:b/>
                <w:sz w:val="36"/>
                <w:szCs w:val="36"/>
              </w:rPr>
            </w:pPr>
            <w:r w:rsidRPr="003E4296">
              <w:rPr>
                <w:rFonts w:asciiTheme="minorHAnsi" w:hAnsiTheme="minorHAnsi" w:cstheme="minorHAnsi"/>
                <w:b/>
                <w:sz w:val="22"/>
                <w:szCs w:val="22"/>
              </w:rPr>
              <w:t>Gyermekétkezési térítési díjhoz nyújtott támogatás</w:t>
            </w:r>
            <w:r w:rsidRPr="003E4296">
              <w:rPr>
                <w:rFonts w:asciiTheme="minorHAnsi" w:hAnsiTheme="minorHAnsi" w:cstheme="minorHAnsi"/>
                <w:b/>
                <w:sz w:val="36"/>
                <w:szCs w:val="36"/>
              </w:rPr>
              <w:t xml:space="preserve"> </w:t>
            </w:r>
          </w:p>
        </w:tc>
        <w:tc>
          <w:tcPr>
            <w:tcW w:w="2572" w:type="dxa"/>
          </w:tcPr>
          <w:p w:rsidR="003E4296" w:rsidRPr="00157F9E" w:rsidRDefault="00157F9E" w:rsidP="00C5030B">
            <w:pPr>
              <w:pStyle w:val="NormlWeb"/>
              <w:spacing w:before="0" w:beforeAutospacing="0" w:after="0" w:afterAutospacing="0"/>
              <w:jc w:val="center"/>
              <w:textAlignment w:val="baseline"/>
              <w:rPr>
                <w:rFonts w:asciiTheme="minorHAnsi" w:hAnsiTheme="minorHAnsi" w:cstheme="minorHAnsi"/>
                <w:b/>
                <w:color w:val="FF0000"/>
                <w:sz w:val="48"/>
                <w:szCs w:val="48"/>
              </w:rPr>
            </w:pPr>
            <w:r w:rsidRPr="00157F9E">
              <w:rPr>
                <w:rFonts w:asciiTheme="minorHAnsi" w:hAnsiTheme="minorHAnsi" w:cstheme="minorHAnsi"/>
                <w:b/>
                <w:color w:val="FF0000"/>
                <w:sz w:val="48"/>
                <w:szCs w:val="48"/>
              </w:rPr>
              <w:t>-</w:t>
            </w:r>
          </w:p>
        </w:tc>
        <w:tc>
          <w:tcPr>
            <w:tcW w:w="2581" w:type="dxa"/>
          </w:tcPr>
          <w:p w:rsidR="003E4296" w:rsidRPr="00157F9E" w:rsidRDefault="003E4296" w:rsidP="00157F9E">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r w:rsidR="003E4296" w:rsidTr="003E4296">
        <w:tc>
          <w:tcPr>
            <w:tcW w:w="3206" w:type="dxa"/>
          </w:tcPr>
          <w:p w:rsidR="003E4296" w:rsidRPr="003E4296" w:rsidRDefault="003E4296" w:rsidP="003E4296">
            <w:pPr>
              <w:pStyle w:val="NormlWeb"/>
              <w:spacing w:before="0" w:beforeAutospacing="0" w:after="0" w:afterAutospacing="0"/>
              <w:textAlignment w:val="baseline"/>
              <w:rPr>
                <w:rFonts w:asciiTheme="minorHAnsi" w:hAnsiTheme="minorHAnsi" w:cstheme="minorHAnsi"/>
                <w:b/>
                <w:sz w:val="36"/>
                <w:szCs w:val="36"/>
              </w:rPr>
            </w:pPr>
            <w:r w:rsidRPr="003E4296">
              <w:rPr>
                <w:rFonts w:asciiTheme="minorHAnsi" w:hAnsiTheme="minorHAnsi" w:cstheme="minorHAnsi"/>
                <w:b/>
                <w:sz w:val="22"/>
                <w:szCs w:val="22"/>
              </w:rPr>
              <w:t>Felsőfokú oktatási intézményekben tanulók ösztöndíj támogatása</w:t>
            </w:r>
          </w:p>
        </w:tc>
        <w:tc>
          <w:tcPr>
            <w:tcW w:w="2572" w:type="dxa"/>
          </w:tcPr>
          <w:p w:rsidR="003E4296" w:rsidRPr="00157F9E" w:rsidRDefault="00157F9E" w:rsidP="00C5030B">
            <w:pPr>
              <w:pStyle w:val="NormlWeb"/>
              <w:spacing w:before="0" w:beforeAutospacing="0" w:after="0" w:afterAutospacing="0"/>
              <w:jc w:val="center"/>
              <w:textAlignment w:val="baseline"/>
              <w:rPr>
                <w:rFonts w:asciiTheme="minorHAnsi" w:hAnsiTheme="minorHAnsi" w:cstheme="minorHAnsi"/>
                <w:b/>
                <w:color w:val="FF0000"/>
                <w:sz w:val="48"/>
                <w:szCs w:val="48"/>
              </w:rPr>
            </w:pPr>
            <w:r w:rsidRPr="00157F9E">
              <w:rPr>
                <w:rFonts w:asciiTheme="minorHAnsi" w:hAnsiTheme="minorHAnsi" w:cstheme="minorHAnsi"/>
                <w:b/>
                <w:color w:val="FF0000"/>
                <w:sz w:val="48"/>
                <w:szCs w:val="48"/>
              </w:rPr>
              <w:t>-</w:t>
            </w:r>
          </w:p>
        </w:tc>
        <w:tc>
          <w:tcPr>
            <w:tcW w:w="2581" w:type="dxa"/>
          </w:tcPr>
          <w:p w:rsidR="003E4296" w:rsidRPr="00157F9E" w:rsidRDefault="003E4296" w:rsidP="00157F9E">
            <w:pPr>
              <w:pStyle w:val="NormlWeb"/>
              <w:numPr>
                <w:ilvl w:val="0"/>
                <w:numId w:val="6"/>
              </w:numPr>
              <w:spacing w:before="0" w:beforeAutospacing="0" w:after="0" w:afterAutospacing="0"/>
              <w:jc w:val="center"/>
              <w:textAlignment w:val="baseline"/>
              <w:rPr>
                <w:rFonts w:asciiTheme="minorHAnsi" w:hAnsiTheme="minorHAnsi" w:cstheme="minorHAnsi"/>
                <w:b/>
                <w:color w:val="00B050"/>
                <w:sz w:val="40"/>
                <w:szCs w:val="40"/>
              </w:rPr>
            </w:pPr>
          </w:p>
        </w:tc>
      </w:tr>
    </w:tbl>
    <w:p w:rsidR="007C4447" w:rsidRPr="003E4296" w:rsidRDefault="007C4447" w:rsidP="007C4447">
      <w:pPr>
        <w:pStyle w:val="NormlWeb"/>
        <w:shd w:val="clear" w:color="auto" w:fill="FFFFFF"/>
        <w:spacing w:before="0" w:beforeAutospacing="0" w:after="360" w:afterAutospacing="0"/>
        <w:jc w:val="center"/>
        <w:textAlignment w:val="baseline"/>
        <w:rPr>
          <w:rFonts w:asciiTheme="minorHAnsi" w:hAnsiTheme="minorHAnsi" w:cstheme="minorHAnsi"/>
          <w:b/>
          <w:color w:val="222222"/>
          <w:sz w:val="22"/>
          <w:szCs w:val="22"/>
        </w:rPr>
      </w:pPr>
    </w:p>
    <w:p w:rsidR="00DE7BB9" w:rsidRPr="003E4296" w:rsidRDefault="00DE7BB9" w:rsidP="003E4296">
      <w:pPr>
        <w:pStyle w:val="NormlWeb"/>
        <w:numPr>
          <w:ilvl w:val="1"/>
          <w:numId w:val="4"/>
        </w:numPr>
        <w:shd w:val="clear" w:color="auto" w:fill="FFFFFF"/>
        <w:spacing w:before="0" w:beforeAutospacing="0" w:after="360" w:afterAutospacing="0"/>
        <w:jc w:val="both"/>
        <w:textAlignment w:val="baseline"/>
        <w:rPr>
          <w:rFonts w:asciiTheme="minorHAnsi" w:hAnsiTheme="minorHAnsi" w:cstheme="minorHAnsi"/>
          <w:b/>
          <w:color w:val="222222"/>
          <w:sz w:val="22"/>
          <w:szCs w:val="22"/>
        </w:rPr>
      </w:pPr>
      <w:r w:rsidRPr="003E4296">
        <w:rPr>
          <w:rFonts w:asciiTheme="minorHAnsi" w:hAnsiTheme="minorHAnsi" w:cstheme="minorHAnsi"/>
          <w:b/>
          <w:color w:val="222222"/>
          <w:sz w:val="22"/>
          <w:szCs w:val="22"/>
        </w:rPr>
        <w:t>Egyes támogatási formák megszüntetése</w:t>
      </w:r>
    </w:p>
    <w:p w:rsidR="00DE7BB9" w:rsidRPr="003E4296" w:rsidRDefault="007D5880" w:rsidP="003E4296">
      <w:pPr>
        <w:pStyle w:val="NormlWeb"/>
        <w:numPr>
          <w:ilvl w:val="2"/>
          <w:numId w:val="4"/>
        </w:numPr>
        <w:shd w:val="clear" w:color="auto" w:fill="FFFFFF"/>
        <w:spacing w:before="0" w:beforeAutospacing="0" w:after="360" w:afterAutospacing="0"/>
        <w:jc w:val="both"/>
        <w:textAlignment w:val="baseline"/>
        <w:rPr>
          <w:rFonts w:asciiTheme="minorHAnsi" w:hAnsiTheme="minorHAnsi" w:cstheme="minorHAnsi"/>
          <w:b/>
          <w:color w:val="222222"/>
          <w:sz w:val="22"/>
          <w:szCs w:val="22"/>
        </w:rPr>
      </w:pPr>
      <w:r w:rsidRPr="003E4296">
        <w:rPr>
          <w:rFonts w:asciiTheme="minorHAnsi" w:hAnsiTheme="minorHAnsi" w:cstheme="minorHAnsi"/>
          <w:b/>
          <w:color w:val="222222"/>
          <w:sz w:val="22"/>
          <w:szCs w:val="22"/>
        </w:rPr>
        <w:t>Ápolási célú települési támogatás</w:t>
      </w:r>
    </w:p>
    <w:p w:rsidR="003E6110" w:rsidRDefault="007D5880" w:rsidP="00BD1ABD">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A 2013. évi közigazgatási reform</w:t>
      </w:r>
      <w:r w:rsidR="00233E11">
        <w:rPr>
          <w:rFonts w:asciiTheme="minorHAnsi" w:hAnsiTheme="minorHAnsi" w:cstheme="minorHAnsi"/>
          <w:color w:val="222222"/>
          <w:sz w:val="22"/>
          <w:szCs w:val="22"/>
        </w:rPr>
        <w:t xml:space="preserve"> eredményeként bevezetésre került a járási rendszer és több </w:t>
      </w:r>
      <w:r>
        <w:rPr>
          <w:rFonts w:asciiTheme="minorHAnsi" w:hAnsiTheme="minorHAnsi" w:cstheme="minorHAnsi"/>
          <w:color w:val="222222"/>
          <w:sz w:val="22"/>
          <w:szCs w:val="22"/>
        </w:rPr>
        <w:t xml:space="preserve">szociális </w:t>
      </w:r>
      <w:r w:rsidR="00233E11">
        <w:rPr>
          <w:rFonts w:asciiTheme="minorHAnsi" w:hAnsiTheme="minorHAnsi" w:cstheme="minorHAnsi"/>
          <w:color w:val="222222"/>
          <w:sz w:val="22"/>
          <w:szCs w:val="22"/>
        </w:rPr>
        <w:t xml:space="preserve">ellátás – köztük az ápolási díj is – az önkormányzatok hatásköréből a kormányhivatalok hatáskörébe került. Ezzel párhuzamosan az ápolási díj esetében az igénybevétel feltételei is szigorodtak, a korábban önkormányzatok által alkalmazott méltányosságra a jövedelemhatárok tekintetében már nem volt mód, ezért voltak, akik ellátás nélkül maradtak. Azon ügyfelek részére, akik kiestek az ellátásból próbálta megkönnyíteni az átmenetet az önkormányzat azzal, hogy bevezette az ápolási célú települési támogatást. Az ápolási célú települési támogatás folyósítása azonban, szemben az ápolási díjjal </w:t>
      </w:r>
      <w:r w:rsidR="003E6110">
        <w:rPr>
          <w:rFonts w:asciiTheme="minorHAnsi" w:hAnsiTheme="minorHAnsi" w:cstheme="minorHAnsi"/>
          <w:color w:val="222222"/>
          <w:sz w:val="22"/>
          <w:szCs w:val="22"/>
        </w:rPr>
        <w:t>nem jelentett szolgálati időt a nyugdíjjogosultsághoz, ezért az ápolási díjat helyettesíteni nem tudta, célja az volt, hogy ne maradjanak ellátás nélkül a korábbi jogosultak abban az átmeneti időben, amíg helyzetük rendeződik, vagy jogosultságot szereznek egy másik rendszeres ellátásra.</w:t>
      </w:r>
    </w:p>
    <w:p w:rsidR="003E6110" w:rsidRPr="003E4296" w:rsidRDefault="003E6110" w:rsidP="00BD1ABD">
      <w:pPr>
        <w:pStyle w:val="NormlWeb"/>
        <w:shd w:val="clear" w:color="auto" w:fill="FFFFFF"/>
        <w:spacing w:before="0" w:beforeAutospacing="0" w:after="360" w:afterAutospacing="0"/>
        <w:jc w:val="both"/>
        <w:textAlignment w:val="baseline"/>
        <w:rPr>
          <w:rFonts w:asciiTheme="minorHAnsi" w:hAnsiTheme="minorHAnsi" w:cstheme="minorHAnsi"/>
          <w:b/>
          <w:i/>
          <w:color w:val="222222"/>
          <w:sz w:val="22"/>
          <w:szCs w:val="22"/>
        </w:rPr>
      </w:pPr>
      <w:r w:rsidRPr="003E4296">
        <w:rPr>
          <w:rFonts w:asciiTheme="minorHAnsi" w:hAnsiTheme="minorHAnsi" w:cstheme="minorHAnsi"/>
          <w:b/>
          <w:i/>
          <w:color w:val="222222"/>
          <w:sz w:val="22"/>
          <w:szCs w:val="22"/>
        </w:rPr>
        <w:lastRenderedPageBreak/>
        <w:t>Az ápolási célú települési támogatást jelenleg</w:t>
      </w:r>
      <w:r w:rsidR="003E4296">
        <w:rPr>
          <w:rFonts w:asciiTheme="minorHAnsi" w:hAnsiTheme="minorHAnsi" w:cstheme="minorHAnsi"/>
          <w:b/>
          <w:i/>
          <w:color w:val="222222"/>
          <w:sz w:val="22"/>
          <w:szCs w:val="22"/>
        </w:rPr>
        <w:t xml:space="preserve"> senki sem veszi</w:t>
      </w:r>
      <w:r w:rsidRPr="003E4296">
        <w:rPr>
          <w:rFonts w:asciiTheme="minorHAnsi" w:hAnsiTheme="minorHAnsi" w:cstheme="minorHAnsi"/>
          <w:b/>
          <w:i/>
          <w:color w:val="222222"/>
          <w:sz w:val="22"/>
          <w:szCs w:val="22"/>
        </w:rPr>
        <w:t>, illetve az elmúlt öt évben senki sem vette igénybe, illetve igényelte. A támogatási forma fenntartása nem indokolt.</w:t>
      </w:r>
    </w:p>
    <w:p w:rsidR="003E6110" w:rsidRPr="003E4296" w:rsidRDefault="003E6110" w:rsidP="003E4296">
      <w:pPr>
        <w:pStyle w:val="NormlWeb"/>
        <w:numPr>
          <w:ilvl w:val="2"/>
          <w:numId w:val="4"/>
        </w:numPr>
        <w:shd w:val="clear" w:color="auto" w:fill="FFFFFF"/>
        <w:spacing w:before="0" w:beforeAutospacing="0" w:after="360" w:afterAutospacing="0"/>
        <w:jc w:val="both"/>
        <w:textAlignment w:val="baseline"/>
        <w:rPr>
          <w:rFonts w:asciiTheme="minorHAnsi" w:hAnsiTheme="minorHAnsi" w:cstheme="minorHAnsi"/>
          <w:b/>
          <w:color w:val="222222"/>
          <w:sz w:val="22"/>
          <w:szCs w:val="22"/>
        </w:rPr>
      </w:pPr>
      <w:r w:rsidRPr="003E4296">
        <w:rPr>
          <w:rFonts w:asciiTheme="minorHAnsi" w:hAnsiTheme="minorHAnsi" w:cstheme="minorHAnsi"/>
          <w:b/>
          <w:color w:val="222222"/>
          <w:sz w:val="22"/>
          <w:szCs w:val="22"/>
        </w:rPr>
        <w:t>Kamatmentes kölcsön</w:t>
      </w:r>
    </w:p>
    <w:p w:rsidR="003E6110" w:rsidRDefault="003E6110" w:rsidP="00BD1ABD">
      <w:pPr>
        <w:pStyle w:val="NormlWeb"/>
        <w:shd w:val="clear" w:color="auto" w:fill="FFFFFF"/>
        <w:spacing w:before="0" w:beforeAutospacing="0" w:after="36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A hatályos rendeletünk szerint a települési támogatás csak különösen indokolt esetben nyújtható kamatmentes kölcsö</w:t>
      </w:r>
      <w:r w:rsidR="004D32D2">
        <w:rPr>
          <w:rFonts w:asciiTheme="minorHAnsi" w:hAnsiTheme="minorHAnsi" w:cstheme="minorHAnsi"/>
          <w:color w:val="222222"/>
          <w:sz w:val="22"/>
          <w:szCs w:val="22"/>
        </w:rPr>
        <w:t>n formájában, váratlanul jelentkező</w:t>
      </w:r>
      <w:r>
        <w:rPr>
          <w:rFonts w:asciiTheme="minorHAnsi" w:hAnsiTheme="minorHAnsi" w:cstheme="minorHAnsi"/>
          <w:color w:val="222222"/>
          <w:sz w:val="22"/>
          <w:szCs w:val="22"/>
        </w:rPr>
        <w:t xml:space="preserve">, különös méltányosságot érdemlő költségek (temetési költségek, gyógyászati segédeszközök </w:t>
      </w:r>
      <w:r w:rsidR="004D32D2">
        <w:rPr>
          <w:rFonts w:asciiTheme="minorHAnsi" w:hAnsiTheme="minorHAnsi" w:cstheme="minorHAnsi"/>
          <w:color w:val="222222"/>
          <w:sz w:val="22"/>
          <w:szCs w:val="22"/>
        </w:rPr>
        <w:t xml:space="preserve">költségek </w:t>
      </w:r>
      <w:r>
        <w:rPr>
          <w:rFonts w:asciiTheme="minorHAnsi" w:hAnsiTheme="minorHAnsi" w:cstheme="minorHAnsi"/>
          <w:color w:val="222222"/>
          <w:sz w:val="22"/>
          <w:szCs w:val="22"/>
        </w:rPr>
        <w:t xml:space="preserve">stb.) </w:t>
      </w:r>
      <w:r w:rsidR="004D32D2">
        <w:rPr>
          <w:rFonts w:asciiTheme="minorHAnsi" w:hAnsiTheme="minorHAnsi" w:cstheme="minorHAnsi"/>
          <w:color w:val="222222"/>
          <w:sz w:val="22"/>
          <w:szCs w:val="22"/>
        </w:rPr>
        <w:t xml:space="preserve">felmerülése esetén. </w:t>
      </w:r>
    </w:p>
    <w:p w:rsidR="00DC66DE" w:rsidRDefault="004D32D2" w:rsidP="00DC66DE">
      <w:pPr>
        <w:pStyle w:val="NormlWeb"/>
        <w:shd w:val="clear" w:color="auto" w:fill="FFFFFF"/>
        <w:spacing w:before="0" w:beforeAutospacing="0" w:after="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 xml:space="preserve">Az elmúlt évek tapasztalatai alapján elmondható, hogy ez az ellátási forma a célját </w:t>
      </w:r>
      <w:r w:rsidR="00DC66DE">
        <w:rPr>
          <w:rFonts w:asciiTheme="minorHAnsi" w:hAnsiTheme="minorHAnsi" w:cstheme="minorHAnsi"/>
          <w:color w:val="222222"/>
          <w:sz w:val="22"/>
          <w:szCs w:val="22"/>
        </w:rPr>
        <w:t xml:space="preserve">több okból sem </w:t>
      </w:r>
      <w:r>
        <w:rPr>
          <w:rFonts w:asciiTheme="minorHAnsi" w:hAnsiTheme="minorHAnsi" w:cstheme="minorHAnsi"/>
          <w:color w:val="222222"/>
          <w:sz w:val="22"/>
          <w:szCs w:val="22"/>
        </w:rPr>
        <w:t>tölti be</w:t>
      </w:r>
      <w:r w:rsidR="00DC66DE">
        <w:rPr>
          <w:rFonts w:asciiTheme="minorHAnsi" w:hAnsiTheme="minorHAnsi" w:cstheme="minorHAnsi"/>
          <w:color w:val="222222"/>
          <w:sz w:val="22"/>
          <w:szCs w:val="22"/>
        </w:rPr>
        <w:t>:</w:t>
      </w:r>
    </w:p>
    <w:p w:rsidR="00DC66DE" w:rsidRDefault="00DC66DE" w:rsidP="00DC66DE">
      <w:pPr>
        <w:pStyle w:val="NormlWeb"/>
        <w:numPr>
          <w:ilvl w:val="0"/>
          <w:numId w:val="7"/>
        </w:numPr>
        <w:shd w:val="clear" w:color="auto" w:fill="FFFFFF"/>
        <w:spacing w:before="0" w:beforeAutospacing="0" w:after="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 xml:space="preserve">az ellátást </w:t>
      </w:r>
      <w:r w:rsidR="004D32D2">
        <w:rPr>
          <w:rFonts w:asciiTheme="minorHAnsi" w:hAnsiTheme="minorHAnsi" w:cstheme="minorHAnsi"/>
          <w:color w:val="222222"/>
          <w:sz w:val="22"/>
          <w:szCs w:val="22"/>
        </w:rPr>
        <w:t>igénybe vevők körében</w:t>
      </w:r>
      <w:r>
        <w:rPr>
          <w:rFonts w:asciiTheme="minorHAnsi" w:hAnsiTheme="minorHAnsi" w:cstheme="minorHAnsi"/>
          <w:color w:val="222222"/>
          <w:sz w:val="22"/>
          <w:szCs w:val="22"/>
        </w:rPr>
        <w:t xml:space="preserve"> a fizetési fegyelem nem volt jellemző. </w:t>
      </w:r>
    </w:p>
    <w:p w:rsidR="00DC66DE" w:rsidRDefault="00DC66DE" w:rsidP="00DC66DE">
      <w:pPr>
        <w:pStyle w:val="NormlWeb"/>
        <w:numPr>
          <w:ilvl w:val="0"/>
          <w:numId w:val="7"/>
        </w:numPr>
        <w:shd w:val="clear" w:color="auto" w:fill="FFFFFF"/>
        <w:spacing w:before="0" w:beforeAutospacing="0" w:after="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a támogatási forma megnevezése is félreértésre ad okot, ami miatt több kérelmező „szociális bankként” tekint az önkormányzatra, ahol a bankoktól elvárt jövedelemigazolások és egyéb biztosítékok nélkül juthat gyorsan és könnyen szabad felhasználású hitelhez.</w:t>
      </w:r>
    </w:p>
    <w:p w:rsidR="00DC66DE" w:rsidRDefault="00DC66DE" w:rsidP="00471710">
      <w:pPr>
        <w:pStyle w:val="NormlWeb"/>
        <w:shd w:val="clear" w:color="auto" w:fill="FFFFFF"/>
        <w:spacing w:before="0" w:beforeAutospacing="0" w:after="0" w:afterAutospacing="0"/>
        <w:jc w:val="both"/>
        <w:textAlignment w:val="baseline"/>
        <w:rPr>
          <w:rFonts w:asciiTheme="minorHAnsi" w:hAnsiTheme="minorHAnsi" w:cstheme="minorHAnsi"/>
          <w:color w:val="222222"/>
          <w:sz w:val="22"/>
          <w:szCs w:val="22"/>
        </w:rPr>
      </w:pPr>
    </w:p>
    <w:p w:rsidR="00471710" w:rsidRDefault="00471710" w:rsidP="00471710">
      <w:pPr>
        <w:pStyle w:val="NormlWeb"/>
        <w:shd w:val="clear" w:color="auto" w:fill="FFFFFF"/>
        <w:spacing w:before="0" w:beforeAutospacing="0" w:after="0" w:afterAutospacing="0"/>
        <w:jc w:val="both"/>
        <w:textAlignment w:val="baseline"/>
        <w:rPr>
          <w:rFonts w:asciiTheme="minorHAnsi" w:hAnsiTheme="minorHAnsi" w:cstheme="minorHAnsi"/>
          <w:color w:val="222222"/>
          <w:sz w:val="22"/>
          <w:szCs w:val="22"/>
        </w:rPr>
      </w:pPr>
      <w:r>
        <w:rPr>
          <w:rFonts w:asciiTheme="minorHAnsi" w:hAnsiTheme="minorHAnsi" w:cstheme="minorHAnsi"/>
          <w:color w:val="222222"/>
          <w:sz w:val="22"/>
          <w:szCs w:val="22"/>
        </w:rPr>
        <w:t>A szociálisan rászorult személyek, váratlanul felmerülő, indokolt és méltányolható támogatási kérelmei rendkívüli települ</w:t>
      </w:r>
      <w:r w:rsidR="00F0037E">
        <w:rPr>
          <w:rFonts w:asciiTheme="minorHAnsi" w:hAnsiTheme="minorHAnsi" w:cstheme="minorHAnsi"/>
          <w:color w:val="222222"/>
          <w:sz w:val="22"/>
          <w:szCs w:val="22"/>
        </w:rPr>
        <w:t>ési támogatással orvosolhatók. A szociális rászorultság oka jellemzően az alacsony jövedelem, amelyből a váratlanul nehéz helyzetbe került személy a kamatmentes kölcsön törlesztését nem tudja megoldani, ezért a támogatási forma megszüntetését javaslom.</w:t>
      </w:r>
    </w:p>
    <w:p w:rsidR="00471710" w:rsidRDefault="00471710" w:rsidP="00471710">
      <w:pPr>
        <w:pStyle w:val="NormlWeb"/>
        <w:shd w:val="clear" w:color="auto" w:fill="FFFFFF"/>
        <w:spacing w:before="0" w:beforeAutospacing="0" w:after="0" w:afterAutospacing="0"/>
        <w:jc w:val="both"/>
        <w:textAlignment w:val="baseline"/>
        <w:rPr>
          <w:rFonts w:asciiTheme="minorHAnsi" w:hAnsiTheme="minorHAnsi" w:cstheme="minorHAnsi"/>
          <w:color w:val="222222"/>
          <w:sz w:val="22"/>
          <w:szCs w:val="22"/>
        </w:rPr>
      </w:pPr>
    </w:p>
    <w:p w:rsidR="00471710" w:rsidRDefault="00471710" w:rsidP="00471710">
      <w:pPr>
        <w:pStyle w:val="NormlWeb"/>
        <w:shd w:val="clear" w:color="auto" w:fill="FFFFFF"/>
        <w:spacing w:before="0" w:beforeAutospacing="0" w:after="0" w:afterAutospacing="0"/>
        <w:jc w:val="both"/>
        <w:textAlignment w:val="baseline"/>
        <w:rPr>
          <w:rFonts w:asciiTheme="minorHAnsi" w:hAnsiTheme="minorHAnsi" w:cstheme="minorHAnsi"/>
          <w:color w:val="222222"/>
          <w:sz w:val="22"/>
          <w:szCs w:val="22"/>
        </w:rPr>
      </w:pPr>
    </w:p>
    <w:p w:rsidR="00BD1ABD" w:rsidRPr="003E4296" w:rsidRDefault="003E4296" w:rsidP="003E4296">
      <w:pPr>
        <w:pStyle w:val="NormlWeb"/>
        <w:numPr>
          <w:ilvl w:val="1"/>
          <w:numId w:val="4"/>
        </w:numPr>
        <w:shd w:val="clear" w:color="auto" w:fill="FFFFFF"/>
        <w:spacing w:before="0" w:beforeAutospacing="0" w:after="360" w:afterAutospacing="0"/>
        <w:jc w:val="both"/>
        <w:textAlignment w:val="baseline"/>
        <w:rPr>
          <w:rFonts w:asciiTheme="minorHAnsi" w:hAnsiTheme="minorHAnsi" w:cstheme="minorHAnsi"/>
          <w:b/>
          <w:color w:val="222222"/>
          <w:sz w:val="22"/>
          <w:szCs w:val="22"/>
        </w:rPr>
      </w:pPr>
      <w:r w:rsidRPr="003E4296">
        <w:rPr>
          <w:rFonts w:asciiTheme="minorHAnsi" w:hAnsiTheme="minorHAnsi" w:cstheme="minorHAnsi"/>
          <w:b/>
          <w:color w:val="222222"/>
          <w:sz w:val="22"/>
          <w:szCs w:val="22"/>
        </w:rPr>
        <w:t xml:space="preserve"> </w:t>
      </w:r>
      <w:r w:rsidR="00BD1ABD" w:rsidRPr="003E4296">
        <w:rPr>
          <w:rFonts w:asciiTheme="minorHAnsi" w:hAnsiTheme="minorHAnsi" w:cstheme="minorHAnsi"/>
          <w:b/>
          <w:color w:val="222222"/>
          <w:sz w:val="22"/>
          <w:szCs w:val="22"/>
        </w:rPr>
        <w:t>Új támogatási formák bevezetése</w:t>
      </w:r>
    </w:p>
    <w:p w:rsidR="006D115B" w:rsidRPr="007C4447" w:rsidRDefault="006D115B" w:rsidP="00DC66DE">
      <w:pPr>
        <w:autoSpaceDE w:val="0"/>
        <w:autoSpaceDN w:val="0"/>
        <w:adjustRightInd w:val="0"/>
        <w:spacing w:after="0" w:line="240" w:lineRule="auto"/>
        <w:rPr>
          <w:rFonts w:asciiTheme="minorHAnsi" w:hAnsiTheme="minorHAnsi" w:cstheme="minorHAnsi"/>
        </w:rPr>
      </w:pPr>
      <w:r w:rsidRPr="007C4447">
        <w:rPr>
          <w:rFonts w:asciiTheme="minorHAnsi" w:hAnsiTheme="minorHAnsi" w:cstheme="minorHAnsi"/>
        </w:rPr>
        <w:t xml:space="preserve">Új támogatási formaként kerülne bevezetésre </w:t>
      </w:r>
      <w:r w:rsidRPr="007C4447">
        <w:rPr>
          <w:rFonts w:asciiTheme="minorHAnsi" w:hAnsiTheme="minorHAnsi" w:cstheme="minorHAnsi"/>
          <w:lang w:eastAsia="hu-HU"/>
        </w:rPr>
        <w:t>felsőoktatási intézményben tanulók ösztöndíj támogatása és</w:t>
      </w:r>
      <w:r w:rsidRPr="007C4447">
        <w:rPr>
          <w:rFonts w:asciiTheme="minorHAnsi" w:hAnsiTheme="minorHAnsi" w:cstheme="minorHAnsi"/>
        </w:rPr>
        <w:t xml:space="preserve"> a Gyermekétkeztetésben részesülő gyermek étkezési térítési díjához nyújtott támogatás.</w:t>
      </w:r>
    </w:p>
    <w:p w:rsidR="006D115B" w:rsidRPr="003E4296" w:rsidRDefault="006D115B" w:rsidP="006D115B">
      <w:pPr>
        <w:autoSpaceDE w:val="0"/>
        <w:autoSpaceDN w:val="0"/>
        <w:adjustRightInd w:val="0"/>
        <w:spacing w:after="0" w:line="240" w:lineRule="auto"/>
        <w:ind w:left="360"/>
        <w:rPr>
          <w:rFonts w:asciiTheme="minorHAnsi" w:hAnsiTheme="minorHAnsi" w:cstheme="minorHAnsi"/>
          <w:b/>
        </w:rPr>
      </w:pPr>
    </w:p>
    <w:p w:rsidR="006D115B" w:rsidRPr="003E4296" w:rsidRDefault="006D115B" w:rsidP="003E4296">
      <w:pPr>
        <w:pStyle w:val="Listaszerbekezds"/>
        <w:numPr>
          <w:ilvl w:val="2"/>
          <w:numId w:val="4"/>
        </w:numPr>
        <w:autoSpaceDE w:val="0"/>
        <w:autoSpaceDN w:val="0"/>
        <w:adjustRightInd w:val="0"/>
        <w:spacing w:after="0" w:line="240" w:lineRule="auto"/>
        <w:rPr>
          <w:rFonts w:asciiTheme="minorHAnsi" w:hAnsiTheme="minorHAnsi" w:cstheme="minorHAnsi"/>
          <w:b/>
          <w:lang w:eastAsia="hu-HU"/>
        </w:rPr>
      </w:pPr>
      <w:r w:rsidRPr="003E4296">
        <w:rPr>
          <w:rFonts w:asciiTheme="minorHAnsi" w:hAnsiTheme="minorHAnsi" w:cstheme="minorHAnsi"/>
          <w:b/>
          <w:lang w:eastAsia="hu-HU"/>
        </w:rPr>
        <w:t>Felsőoktatási intézményben tanulók ösztöndíj támogatása</w:t>
      </w:r>
    </w:p>
    <w:p w:rsidR="006D115B" w:rsidRPr="007C4447" w:rsidRDefault="006D115B" w:rsidP="006D115B">
      <w:pPr>
        <w:autoSpaceDE w:val="0"/>
        <w:autoSpaceDN w:val="0"/>
        <w:adjustRightInd w:val="0"/>
        <w:spacing w:after="0" w:line="240" w:lineRule="auto"/>
        <w:ind w:left="360"/>
        <w:rPr>
          <w:rFonts w:asciiTheme="minorHAnsi" w:hAnsiTheme="minorHAnsi" w:cstheme="minorHAnsi"/>
          <w:lang w:eastAsia="hu-HU"/>
        </w:rPr>
      </w:pPr>
    </w:p>
    <w:p w:rsidR="004E688D" w:rsidRPr="007C4447" w:rsidRDefault="006D115B" w:rsidP="00E01BF2">
      <w:pPr>
        <w:autoSpaceDE w:val="0"/>
        <w:autoSpaceDN w:val="0"/>
        <w:adjustRightInd w:val="0"/>
        <w:spacing w:after="0" w:line="240" w:lineRule="auto"/>
        <w:jc w:val="both"/>
        <w:rPr>
          <w:rFonts w:asciiTheme="minorHAnsi" w:hAnsiTheme="minorHAnsi" w:cstheme="minorHAnsi"/>
          <w:lang w:eastAsia="hu-HU"/>
        </w:rPr>
      </w:pPr>
      <w:r w:rsidRPr="007C4447">
        <w:rPr>
          <w:rFonts w:asciiTheme="minorHAnsi" w:hAnsiTheme="minorHAnsi" w:cstheme="minorHAnsi"/>
          <w:lang w:eastAsia="hu-HU"/>
        </w:rPr>
        <w:t>A jelenleg működő ösztöndíj rendszer az általános- és középiskolákban tanulókat támogatja, nem szociális alapon, hanem az általuk elért tanulmányi eredmény alapján. A tavalyi év decemberben tartott HEP fórumon az általános iskola részéről is megerősítést nyert, hogy a</w:t>
      </w:r>
      <w:r w:rsidR="004E688D" w:rsidRPr="007C4447">
        <w:rPr>
          <w:rFonts w:asciiTheme="minorHAnsi" w:hAnsiTheme="minorHAnsi" w:cstheme="minorHAnsi"/>
          <w:lang w:eastAsia="hu-HU"/>
        </w:rPr>
        <w:t xml:space="preserve"> jelenlegi</w:t>
      </w:r>
      <w:r w:rsidRPr="007C4447">
        <w:rPr>
          <w:rFonts w:asciiTheme="minorHAnsi" w:hAnsiTheme="minorHAnsi" w:cstheme="minorHAnsi"/>
          <w:lang w:eastAsia="hu-HU"/>
        </w:rPr>
        <w:t xml:space="preserve"> rendszer eredményes, motiválja a tanulókat. Az általános- és középiskolások által évről-évre beadott kérelmek szám</w:t>
      </w:r>
      <w:r w:rsidR="004E688D" w:rsidRPr="007C4447">
        <w:rPr>
          <w:rFonts w:asciiTheme="minorHAnsi" w:hAnsiTheme="minorHAnsi" w:cstheme="minorHAnsi"/>
          <w:lang w:eastAsia="hu-HU"/>
        </w:rPr>
        <w:t>ából kitűnik</w:t>
      </w:r>
      <w:r w:rsidRPr="007C4447">
        <w:rPr>
          <w:rFonts w:asciiTheme="minorHAnsi" w:hAnsiTheme="minorHAnsi" w:cstheme="minorHAnsi"/>
          <w:lang w:eastAsia="hu-HU"/>
        </w:rPr>
        <w:t>, hogy az ösztöndíjként nyújtott támogatás</w:t>
      </w:r>
      <w:r w:rsidR="004E688D" w:rsidRPr="007C4447">
        <w:rPr>
          <w:rFonts w:asciiTheme="minorHAnsi" w:hAnsiTheme="minorHAnsi" w:cstheme="minorHAnsi"/>
          <w:lang w:eastAsia="hu-HU"/>
        </w:rPr>
        <w:t xml:space="preserve"> a lakosság kör</w:t>
      </w:r>
      <w:r w:rsidRPr="007C4447">
        <w:rPr>
          <w:rFonts w:asciiTheme="minorHAnsi" w:hAnsiTheme="minorHAnsi" w:cstheme="minorHAnsi"/>
          <w:lang w:eastAsia="hu-HU"/>
        </w:rPr>
        <w:t xml:space="preserve">ében </w:t>
      </w:r>
      <w:r w:rsidR="004E688D" w:rsidRPr="007C4447">
        <w:rPr>
          <w:rFonts w:asciiTheme="minorHAnsi" w:hAnsiTheme="minorHAnsi" w:cstheme="minorHAnsi"/>
          <w:lang w:eastAsia="hu-HU"/>
        </w:rPr>
        <w:t xml:space="preserve">ismert és </w:t>
      </w:r>
      <w:r w:rsidRPr="007C4447">
        <w:rPr>
          <w:rFonts w:asciiTheme="minorHAnsi" w:hAnsiTheme="minorHAnsi" w:cstheme="minorHAnsi"/>
          <w:lang w:eastAsia="hu-HU"/>
        </w:rPr>
        <w:t>népszerű.</w:t>
      </w:r>
      <w:r w:rsidR="004E688D" w:rsidRPr="007C4447">
        <w:rPr>
          <w:rFonts w:asciiTheme="minorHAnsi" w:hAnsiTheme="minorHAnsi" w:cstheme="minorHAnsi"/>
          <w:lang w:eastAsia="hu-HU"/>
        </w:rPr>
        <w:t xml:space="preserve"> </w:t>
      </w:r>
    </w:p>
    <w:p w:rsidR="006D115B" w:rsidRPr="007C4447" w:rsidRDefault="004E688D" w:rsidP="00E01BF2">
      <w:pPr>
        <w:autoSpaceDE w:val="0"/>
        <w:autoSpaceDN w:val="0"/>
        <w:adjustRightInd w:val="0"/>
        <w:spacing w:after="0" w:line="240" w:lineRule="auto"/>
        <w:jc w:val="both"/>
        <w:rPr>
          <w:rFonts w:asciiTheme="minorHAnsi" w:hAnsiTheme="minorHAnsi" w:cstheme="minorHAnsi"/>
          <w:lang w:eastAsia="hu-HU"/>
        </w:rPr>
      </w:pPr>
      <w:r w:rsidRPr="007C4447">
        <w:rPr>
          <w:rFonts w:asciiTheme="minorHAnsi" w:hAnsiTheme="minorHAnsi" w:cstheme="minorHAnsi"/>
          <w:lang w:eastAsia="hu-HU"/>
        </w:rPr>
        <w:t>A tavalyi évben képviselői javaslat érkezett az ösztöndíj rendszer kibővítésére oly módon, hogy lehetőség nyíljon a felsőoktatási intézményekben tanulók támogatására</w:t>
      </w:r>
      <w:r w:rsidR="00784E46" w:rsidRPr="007C4447">
        <w:rPr>
          <w:rFonts w:asciiTheme="minorHAnsi" w:hAnsiTheme="minorHAnsi" w:cstheme="minorHAnsi"/>
          <w:lang w:eastAsia="hu-HU"/>
        </w:rPr>
        <w:t xml:space="preserve"> is</w:t>
      </w:r>
      <w:r w:rsidRPr="007C4447">
        <w:rPr>
          <w:rFonts w:asciiTheme="minorHAnsi" w:hAnsiTheme="minorHAnsi" w:cstheme="minorHAnsi"/>
          <w:lang w:eastAsia="hu-HU"/>
        </w:rPr>
        <w:t xml:space="preserve">. </w:t>
      </w:r>
    </w:p>
    <w:p w:rsidR="008D7B6C" w:rsidRPr="007C4447" w:rsidRDefault="008D7B6C" w:rsidP="00E01BF2">
      <w:pPr>
        <w:autoSpaceDE w:val="0"/>
        <w:autoSpaceDN w:val="0"/>
        <w:adjustRightInd w:val="0"/>
        <w:spacing w:after="0" w:line="240" w:lineRule="auto"/>
        <w:jc w:val="both"/>
        <w:rPr>
          <w:rFonts w:asciiTheme="minorHAnsi" w:hAnsiTheme="minorHAnsi" w:cstheme="minorHAnsi"/>
          <w:lang w:eastAsia="hu-HU"/>
        </w:rPr>
      </w:pPr>
      <w:r w:rsidRPr="007C4447">
        <w:rPr>
          <w:rFonts w:asciiTheme="minorHAnsi" w:hAnsiTheme="minorHAnsi" w:cstheme="minorHAnsi"/>
          <w:lang w:eastAsia="hu-HU"/>
        </w:rPr>
        <w:t>A rendelet-tervezetben kidolgozott támogatási forma figyelembe veszi a felsőoktatási intézmények sajátosságait (pl.: a támogatás 5 hónapra kerül megállapításra), és 5 fő részére biztosítja az ösztöndíj igénybevételének lehetőségét. A támogatott létszámot a korábbi években a Bursa Hungarica ösztöndíj pályázatra benyújtott pályázatok</w:t>
      </w:r>
      <w:r w:rsidR="00784E46" w:rsidRPr="007C4447">
        <w:rPr>
          <w:rFonts w:asciiTheme="minorHAnsi" w:hAnsiTheme="minorHAnsi" w:cstheme="minorHAnsi"/>
          <w:lang w:eastAsia="hu-HU"/>
        </w:rPr>
        <w:t>, valamint az önkormányzat által ismert, csemői első diplomások száma</w:t>
      </w:r>
      <w:r w:rsidRPr="007C4447">
        <w:rPr>
          <w:rFonts w:asciiTheme="minorHAnsi" w:hAnsiTheme="minorHAnsi" w:cstheme="minorHAnsi"/>
          <w:lang w:eastAsia="hu-HU"/>
        </w:rPr>
        <w:t xml:space="preserve"> alapján állapítottuk meg.</w:t>
      </w:r>
    </w:p>
    <w:p w:rsidR="00AE2FF5" w:rsidRPr="007C4447" w:rsidRDefault="00784E46" w:rsidP="00E01BF2">
      <w:pPr>
        <w:tabs>
          <w:tab w:val="left" w:pos="0"/>
        </w:tabs>
        <w:spacing w:after="0"/>
        <w:jc w:val="both"/>
        <w:rPr>
          <w:rFonts w:asciiTheme="minorHAnsi" w:hAnsiTheme="minorHAnsi" w:cstheme="minorHAnsi"/>
        </w:rPr>
      </w:pPr>
      <w:r w:rsidRPr="007C4447">
        <w:rPr>
          <w:rFonts w:asciiTheme="minorHAnsi" w:hAnsiTheme="minorHAnsi" w:cstheme="minorHAnsi"/>
        </w:rPr>
        <w:t>A támogatás célja a felső oktatási intézményben tanulót nevelő családok terheinek csökkentése, és a fiatalok településhez való kötődésének erősítése.</w:t>
      </w:r>
    </w:p>
    <w:p w:rsidR="00784E46" w:rsidRDefault="00784E46" w:rsidP="00E01BF2">
      <w:pPr>
        <w:tabs>
          <w:tab w:val="left" w:pos="0"/>
        </w:tabs>
        <w:spacing w:after="0"/>
        <w:jc w:val="both"/>
        <w:rPr>
          <w:rFonts w:asciiTheme="minorHAnsi" w:hAnsiTheme="minorHAnsi" w:cstheme="minorHAnsi"/>
        </w:rPr>
      </w:pPr>
      <w:r w:rsidRPr="007C4447">
        <w:rPr>
          <w:rFonts w:asciiTheme="minorHAnsi" w:hAnsiTheme="minorHAnsi" w:cstheme="minorHAnsi"/>
        </w:rPr>
        <w:t>A támogatás a 2024. évben 500.000 Ft-tal terhelné az önkormányzat költségvetését, ami a szociális keretből teljesíthető.</w:t>
      </w:r>
    </w:p>
    <w:p w:rsidR="00456E37" w:rsidRDefault="00456E37" w:rsidP="00E01BF2">
      <w:pPr>
        <w:tabs>
          <w:tab w:val="left" w:pos="0"/>
        </w:tabs>
        <w:spacing w:after="0"/>
        <w:jc w:val="both"/>
        <w:rPr>
          <w:rFonts w:asciiTheme="minorHAnsi" w:hAnsiTheme="minorHAnsi" w:cstheme="minorHAnsi"/>
        </w:rPr>
      </w:pPr>
    </w:p>
    <w:p w:rsidR="00456E37" w:rsidRDefault="00456E37" w:rsidP="00E01BF2">
      <w:pPr>
        <w:tabs>
          <w:tab w:val="left" w:pos="0"/>
        </w:tabs>
        <w:spacing w:after="0"/>
        <w:jc w:val="both"/>
        <w:rPr>
          <w:rFonts w:asciiTheme="minorHAnsi" w:hAnsiTheme="minorHAnsi" w:cstheme="minorHAnsi"/>
        </w:rPr>
      </w:pPr>
    </w:p>
    <w:p w:rsidR="00456E37" w:rsidRPr="007C4447" w:rsidRDefault="00456E37" w:rsidP="00E01BF2">
      <w:pPr>
        <w:tabs>
          <w:tab w:val="left" w:pos="0"/>
        </w:tabs>
        <w:spacing w:after="0"/>
        <w:jc w:val="both"/>
        <w:rPr>
          <w:rFonts w:asciiTheme="minorHAnsi" w:hAnsiTheme="minorHAnsi" w:cstheme="minorHAnsi"/>
        </w:rPr>
      </w:pPr>
    </w:p>
    <w:p w:rsidR="00784E46" w:rsidRPr="003E4296" w:rsidRDefault="00784E46" w:rsidP="00AE2FF5">
      <w:pPr>
        <w:tabs>
          <w:tab w:val="left" w:pos="0"/>
        </w:tabs>
        <w:spacing w:after="0"/>
        <w:rPr>
          <w:rFonts w:asciiTheme="minorHAnsi" w:hAnsiTheme="minorHAnsi" w:cstheme="minorHAnsi"/>
          <w:b/>
        </w:rPr>
      </w:pPr>
    </w:p>
    <w:p w:rsidR="00784E46" w:rsidRPr="003E4296" w:rsidRDefault="00784E46" w:rsidP="003E4296">
      <w:pPr>
        <w:pStyle w:val="Listaszerbekezds"/>
        <w:numPr>
          <w:ilvl w:val="2"/>
          <w:numId w:val="4"/>
        </w:numPr>
        <w:tabs>
          <w:tab w:val="left" w:pos="0"/>
        </w:tabs>
        <w:spacing w:after="0"/>
        <w:rPr>
          <w:rFonts w:asciiTheme="minorHAnsi" w:hAnsiTheme="minorHAnsi" w:cstheme="minorHAnsi"/>
          <w:b/>
        </w:rPr>
      </w:pPr>
      <w:r w:rsidRPr="003E4296">
        <w:rPr>
          <w:rFonts w:asciiTheme="minorHAnsi" w:hAnsiTheme="minorHAnsi" w:cstheme="minorHAnsi"/>
          <w:b/>
        </w:rPr>
        <w:lastRenderedPageBreak/>
        <w:t>Gyermekétkeztetésben részesülő gyermek étkezési térítési díjához nyújtott támogatás</w:t>
      </w:r>
    </w:p>
    <w:p w:rsidR="00784E46" w:rsidRPr="007C4447" w:rsidRDefault="00784E46" w:rsidP="00AE2FF5">
      <w:pPr>
        <w:tabs>
          <w:tab w:val="left" w:pos="0"/>
        </w:tabs>
        <w:spacing w:after="0"/>
        <w:rPr>
          <w:rFonts w:asciiTheme="minorHAnsi" w:hAnsiTheme="minorHAnsi" w:cstheme="minorHAnsi"/>
        </w:rPr>
      </w:pPr>
    </w:p>
    <w:p w:rsidR="00E01BF2" w:rsidRDefault="00784E46" w:rsidP="00522114">
      <w:pPr>
        <w:tabs>
          <w:tab w:val="left" w:pos="0"/>
        </w:tabs>
        <w:spacing w:after="0"/>
        <w:jc w:val="both"/>
        <w:rPr>
          <w:rFonts w:asciiTheme="minorHAnsi" w:hAnsiTheme="minorHAnsi" w:cstheme="minorHAnsi"/>
        </w:rPr>
      </w:pPr>
      <w:r w:rsidRPr="007C4447">
        <w:rPr>
          <w:rFonts w:asciiTheme="minorHAnsi" w:hAnsiTheme="minorHAnsi" w:cstheme="minorHAnsi"/>
        </w:rPr>
        <w:t>Az önkormányzat számára mindig is prioritás volt, hogy minden, a településen élő gyermek számára biztosított és elérhető legyen a napi egyszeri meleg főétkezés. Egyeztetve az intézményvezetőkkel</w:t>
      </w:r>
      <w:r w:rsidR="00F97EFA" w:rsidRPr="007C4447">
        <w:rPr>
          <w:rFonts w:asciiTheme="minorHAnsi" w:hAnsiTheme="minorHAnsi" w:cstheme="minorHAnsi"/>
        </w:rPr>
        <w:t xml:space="preserve">, a 2023. év tapasztalatai alapján megállapítható, hogy az étkezési térítési díj befizetése egyre több családnak jelent problémát. </w:t>
      </w:r>
    </w:p>
    <w:p w:rsidR="00784E46" w:rsidRDefault="00F97EFA" w:rsidP="00522114">
      <w:pPr>
        <w:tabs>
          <w:tab w:val="left" w:pos="0"/>
        </w:tabs>
        <w:spacing w:after="0"/>
        <w:jc w:val="both"/>
        <w:rPr>
          <w:rFonts w:asciiTheme="minorHAnsi" w:hAnsiTheme="minorHAnsi" w:cstheme="minorHAnsi"/>
        </w:rPr>
      </w:pPr>
      <w:r w:rsidRPr="007C4447">
        <w:rPr>
          <w:rFonts w:asciiTheme="minorHAnsi" w:hAnsiTheme="minorHAnsi" w:cstheme="minorHAnsi"/>
        </w:rPr>
        <w:t xml:space="preserve">A </w:t>
      </w:r>
      <w:r w:rsidR="00080751" w:rsidRPr="007C4447">
        <w:rPr>
          <w:rFonts w:asciiTheme="minorHAnsi" w:hAnsiTheme="minorHAnsi" w:cstheme="minorHAnsi"/>
        </w:rPr>
        <w:t xml:space="preserve">fogyasztói árindex emelkedése a 2023. évben 17,6 % volt, amit a </w:t>
      </w:r>
      <w:r w:rsidRPr="007C4447">
        <w:rPr>
          <w:rFonts w:asciiTheme="minorHAnsi" w:hAnsiTheme="minorHAnsi" w:cstheme="minorHAnsi"/>
        </w:rPr>
        <w:t xml:space="preserve">minimálbér és a garantált bérminimum emelkedése </w:t>
      </w:r>
      <w:r w:rsidR="00080751" w:rsidRPr="007C4447">
        <w:rPr>
          <w:rFonts w:asciiTheme="minorHAnsi" w:hAnsiTheme="minorHAnsi" w:cstheme="minorHAnsi"/>
        </w:rPr>
        <w:t xml:space="preserve">nem követett, de a növekedés miatt </w:t>
      </w:r>
      <w:r w:rsidR="00E01BF2">
        <w:rPr>
          <w:rFonts w:asciiTheme="minorHAnsi" w:hAnsiTheme="minorHAnsi" w:cstheme="minorHAnsi"/>
        </w:rPr>
        <w:t xml:space="preserve">mégis </w:t>
      </w:r>
      <w:r w:rsidR="00080751" w:rsidRPr="007C4447">
        <w:rPr>
          <w:rFonts w:asciiTheme="minorHAnsi" w:hAnsiTheme="minorHAnsi" w:cstheme="minorHAnsi"/>
        </w:rPr>
        <w:t xml:space="preserve">számos család lépte túl azt a jövedelemhatárt, amely alapján jogosulttá válnának </w:t>
      </w:r>
      <w:r w:rsidR="009776A7" w:rsidRPr="007C4447">
        <w:rPr>
          <w:rFonts w:asciiTheme="minorHAnsi" w:hAnsiTheme="minorHAnsi" w:cstheme="minorHAnsi"/>
        </w:rPr>
        <w:t xml:space="preserve">rendszeres gyermekvédelmi kedvezményre és ezáltal </w:t>
      </w:r>
      <w:r w:rsidR="00080751" w:rsidRPr="007C4447">
        <w:rPr>
          <w:rFonts w:asciiTheme="minorHAnsi" w:hAnsiTheme="minorHAnsi" w:cstheme="minorHAnsi"/>
        </w:rPr>
        <w:t>az ingyenes gyermekétkeztetés igénybevételére.</w:t>
      </w:r>
    </w:p>
    <w:p w:rsidR="00522114" w:rsidRPr="007C4447" w:rsidRDefault="00522114" w:rsidP="00522114">
      <w:pPr>
        <w:tabs>
          <w:tab w:val="left" w:pos="0"/>
        </w:tabs>
        <w:spacing w:after="0"/>
        <w:jc w:val="both"/>
        <w:rPr>
          <w:rFonts w:asciiTheme="minorHAnsi" w:hAnsiTheme="minorHAnsi" w:cstheme="minorHAnsi"/>
        </w:rPr>
      </w:pPr>
      <w:r>
        <w:rPr>
          <w:rFonts w:asciiTheme="minorHAnsi" w:hAnsiTheme="minorHAnsi" w:cstheme="minorHAnsi"/>
        </w:rPr>
        <w:t xml:space="preserve">A probléma elsősorban </w:t>
      </w:r>
      <w:r w:rsidR="00E01BF2">
        <w:rPr>
          <w:rFonts w:asciiTheme="minorHAnsi" w:hAnsiTheme="minorHAnsi" w:cstheme="minorHAnsi"/>
        </w:rPr>
        <w:t xml:space="preserve">az általános iskolásokat érinti. </w:t>
      </w:r>
      <w:r w:rsidRPr="007C4447">
        <w:rPr>
          <w:rFonts w:asciiTheme="minorHAnsi" w:hAnsiTheme="minorHAnsi" w:cstheme="minorHAnsi"/>
        </w:rPr>
        <w:t>A normatív kedvezményre vonatkozó törvényi szabályozás értelmében azok a gyermekek, akik tartósan betegek vagy fogyatékosok, vagy olyan családban élnek, ahol ilyen gyermek nevelkedik, továbbá azok, akik három, vagy több gyermekes családban nevelkednek, az óvodában ingyenesen étkeznek, az iskolában azonban már csak 50%-os kedvezményre jogosultak.</w:t>
      </w:r>
    </w:p>
    <w:p w:rsidR="00E01BF2" w:rsidRDefault="00E01BF2" w:rsidP="00522114">
      <w:pPr>
        <w:tabs>
          <w:tab w:val="left" w:pos="0"/>
        </w:tabs>
        <w:spacing w:after="0"/>
        <w:jc w:val="both"/>
        <w:rPr>
          <w:rFonts w:asciiTheme="minorHAnsi" w:hAnsiTheme="minorHAnsi" w:cstheme="minorHAnsi"/>
        </w:rPr>
      </w:pPr>
      <w:r>
        <w:rPr>
          <w:rFonts w:asciiTheme="minorHAnsi" w:hAnsiTheme="minorHAnsi" w:cstheme="minorHAnsi"/>
        </w:rPr>
        <w:t xml:space="preserve">A családok terheinek könnyítése érdekében javasoljuk bevezetni új támogatási formaként a gyermekek étkezési térítési díjához nyújtott támogatást. </w:t>
      </w:r>
    </w:p>
    <w:p w:rsidR="00522114" w:rsidRPr="007C4447" w:rsidRDefault="00E01BF2" w:rsidP="00522114">
      <w:pPr>
        <w:tabs>
          <w:tab w:val="left" w:pos="0"/>
        </w:tabs>
        <w:spacing w:after="0"/>
        <w:jc w:val="both"/>
        <w:rPr>
          <w:rFonts w:asciiTheme="minorHAnsi" w:hAnsiTheme="minorHAnsi" w:cstheme="minorHAnsi"/>
        </w:rPr>
      </w:pPr>
      <w:r>
        <w:rPr>
          <w:rFonts w:asciiTheme="minorHAnsi" w:hAnsiTheme="minorHAnsi" w:cstheme="minorHAnsi"/>
        </w:rPr>
        <w:t>A támogatás szabályainak kidolgozásánál elsődleges szempont volt, hogy az célzott és tervezhető legyen. Célzott, mivel a támogatottakra az iskola- óvoda vezetője, továbbá a családgondozó tehet javaslatot. Tervezhető, mive az a nevelési, illetve tanévre szól, és a támogatottak maximális száma 20 főben került meghatározásra.</w:t>
      </w:r>
    </w:p>
    <w:p w:rsidR="0002105E" w:rsidRPr="007C4447" w:rsidRDefault="0002105E" w:rsidP="00AE2FF5">
      <w:pPr>
        <w:tabs>
          <w:tab w:val="left" w:pos="0"/>
        </w:tabs>
        <w:spacing w:after="0"/>
        <w:rPr>
          <w:rFonts w:asciiTheme="minorHAnsi" w:hAnsiTheme="minorHAnsi" w:cstheme="minorHAnsi"/>
        </w:rPr>
      </w:pPr>
    </w:p>
    <w:p w:rsidR="0002105E" w:rsidRPr="007C4447" w:rsidRDefault="0002105E" w:rsidP="0002105E">
      <w:pPr>
        <w:rPr>
          <w:rFonts w:asciiTheme="minorHAnsi" w:hAnsiTheme="minorHAnsi" w:cstheme="minorHAnsi"/>
        </w:rPr>
      </w:pPr>
      <w:r w:rsidRPr="007C4447">
        <w:rPr>
          <w:rFonts w:asciiTheme="minorHAnsi" w:hAnsiTheme="minorHAnsi" w:cstheme="minorHAnsi"/>
        </w:rPr>
        <w:t>Az alábbi táblázat a 2023- évben a gyermekétkeztetésben részesülők számának alakulását mutatja be, az általuk igénybe vett normatív kedvezmény alapján:</w:t>
      </w:r>
    </w:p>
    <w:tbl>
      <w:tblPr>
        <w:tblStyle w:val="Rcsostblzat"/>
        <w:tblW w:w="10472" w:type="dxa"/>
        <w:tblInd w:w="-289" w:type="dxa"/>
        <w:tblLook w:val="04A0" w:firstRow="1" w:lastRow="0" w:firstColumn="1" w:lastColumn="0" w:noHBand="0" w:noVBand="1"/>
      </w:tblPr>
      <w:tblGrid>
        <w:gridCol w:w="3256"/>
        <w:gridCol w:w="2551"/>
        <w:gridCol w:w="2410"/>
        <w:gridCol w:w="2255"/>
      </w:tblGrid>
      <w:tr w:rsidR="0002105E" w:rsidRPr="007C4447" w:rsidTr="0002105E">
        <w:tc>
          <w:tcPr>
            <w:tcW w:w="3256" w:type="dxa"/>
          </w:tcPr>
          <w:p w:rsidR="0002105E" w:rsidRPr="007C4447" w:rsidRDefault="0002105E" w:rsidP="0002105E">
            <w:pPr>
              <w:spacing w:after="0" w:line="240" w:lineRule="auto"/>
              <w:rPr>
                <w:rFonts w:asciiTheme="minorHAnsi" w:hAnsiTheme="minorHAnsi" w:cstheme="minorHAnsi"/>
              </w:rPr>
            </w:pPr>
          </w:p>
        </w:tc>
        <w:tc>
          <w:tcPr>
            <w:tcW w:w="2551" w:type="dxa"/>
          </w:tcPr>
          <w:p w:rsidR="0002105E" w:rsidRPr="007C4447" w:rsidRDefault="0002105E" w:rsidP="0002105E">
            <w:pPr>
              <w:spacing w:after="0" w:line="240" w:lineRule="auto"/>
              <w:ind w:hanging="108"/>
              <w:jc w:val="center"/>
              <w:rPr>
                <w:rFonts w:asciiTheme="minorHAnsi" w:hAnsiTheme="minorHAnsi" w:cstheme="minorHAnsi"/>
              </w:rPr>
            </w:pPr>
            <w:r w:rsidRPr="007C4447">
              <w:rPr>
                <w:rFonts w:asciiTheme="minorHAnsi" w:hAnsiTheme="minorHAnsi" w:cstheme="minorHAnsi"/>
              </w:rPr>
              <w:t>Csemői Nefelejcs Óvoda és Mini Bölcsőde;</w:t>
            </w:r>
          </w:p>
          <w:p w:rsidR="0002105E" w:rsidRPr="007C4447" w:rsidRDefault="0002105E" w:rsidP="0002105E">
            <w:pPr>
              <w:spacing w:after="0" w:line="240" w:lineRule="auto"/>
              <w:jc w:val="center"/>
              <w:rPr>
                <w:rFonts w:asciiTheme="minorHAnsi" w:hAnsiTheme="minorHAnsi" w:cstheme="minorHAnsi"/>
                <w:b/>
              </w:rPr>
            </w:pPr>
            <w:r w:rsidRPr="007C4447">
              <w:rPr>
                <w:rFonts w:asciiTheme="minorHAnsi" w:hAnsiTheme="minorHAnsi" w:cstheme="minorHAnsi"/>
                <w:b/>
              </w:rPr>
              <w:t>Bölcsőde</w:t>
            </w:r>
          </w:p>
        </w:tc>
        <w:tc>
          <w:tcPr>
            <w:tcW w:w="2410"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Csemői Nefelejcs Óvoda és Mini Bölcsőde;</w:t>
            </w:r>
          </w:p>
          <w:p w:rsidR="0002105E" w:rsidRPr="007C4447" w:rsidRDefault="0002105E" w:rsidP="0002105E">
            <w:pPr>
              <w:spacing w:after="0" w:line="240" w:lineRule="auto"/>
              <w:jc w:val="center"/>
              <w:rPr>
                <w:rFonts w:asciiTheme="minorHAnsi" w:hAnsiTheme="minorHAnsi" w:cstheme="minorHAnsi"/>
                <w:b/>
              </w:rPr>
            </w:pPr>
            <w:r w:rsidRPr="007C4447">
              <w:rPr>
                <w:rFonts w:asciiTheme="minorHAnsi" w:hAnsiTheme="minorHAnsi" w:cstheme="minorHAnsi"/>
                <w:b/>
              </w:rPr>
              <w:t>Óvoda</w:t>
            </w:r>
          </w:p>
        </w:tc>
        <w:tc>
          <w:tcPr>
            <w:tcW w:w="2255" w:type="dxa"/>
          </w:tcPr>
          <w:p w:rsidR="0002105E" w:rsidRPr="007C4447" w:rsidRDefault="0002105E" w:rsidP="0002105E">
            <w:pPr>
              <w:spacing w:after="0" w:line="240" w:lineRule="auto"/>
              <w:jc w:val="center"/>
              <w:rPr>
                <w:rFonts w:asciiTheme="minorHAnsi" w:hAnsiTheme="minorHAnsi" w:cstheme="minorHAnsi"/>
                <w:b/>
              </w:rPr>
            </w:pPr>
            <w:r w:rsidRPr="007C4447">
              <w:rPr>
                <w:rFonts w:asciiTheme="minorHAnsi" w:hAnsiTheme="minorHAnsi" w:cstheme="minorHAnsi"/>
                <w:b/>
              </w:rPr>
              <w:t>Csemői Ladányi Mihály Általános Iskola</w:t>
            </w:r>
          </w:p>
        </w:tc>
      </w:tr>
      <w:tr w:rsidR="0002105E" w:rsidRPr="007C4447" w:rsidTr="0002105E">
        <w:tc>
          <w:tcPr>
            <w:tcW w:w="3256" w:type="dxa"/>
          </w:tcPr>
          <w:p w:rsidR="0002105E" w:rsidRPr="007C4447" w:rsidRDefault="0002105E" w:rsidP="0002105E">
            <w:pPr>
              <w:spacing w:after="0" w:line="240" w:lineRule="auto"/>
              <w:rPr>
                <w:rFonts w:asciiTheme="minorHAnsi" w:hAnsiTheme="minorHAnsi" w:cstheme="minorHAnsi"/>
              </w:rPr>
            </w:pPr>
            <w:r w:rsidRPr="007C4447">
              <w:rPr>
                <w:rFonts w:asciiTheme="minorHAnsi" w:hAnsiTheme="minorHAnsi" w:cstheme="minorHAnsi"/>
              </w:rPr>
              <w:t>Térítési díjat fizet</w:t>
            </w:r>
          </w:p>
        </w:tc>
        <w:tc>
          <w:tcPr>
            <w:tcW w:w="2551" w:type="dxa"/>
          </w:tcPr>
          <w:p w:rsidR="0002105E" w:rsidRPr="00E01BF2" w:rsidRDefault="0002105E" w:rsidP="0002105E">
            <w:pPr>
              <w:spacing w:after="0" w:line="240" w:lineRule="auto"/>
              <w:jc w:val="center"/>
              <w:rPr>
                <w:rFonts w:asciiTheme="minorHAnsi" w:hAnsiTheme="minorHAnsi" w:cstheme="minorHAnsi"/>
                <w:b/>
              </w:rPr>
            </w:pPr>
            <w:r w:rsidRPr="00E01BF2">
              <w:rPr>
                <w:rFonts w:asciiTheme="minorHAnsi" w:hAnsiTheme="minorHAnsi" w:cstheme="minorHAnsi"/>
                <w:b/>
              </w:rPr>
              <w:t>1</w:t>
            </w:r>
          </w:p>
        </w:tc>
        <w:tc>
          <w:tcPr>
            <w:tcW w:w="2410" w:type="dxa"/>
          </w:tcPr>
          <w:p w:rsidR="0002105E" w:rsidRPr="00E01BF2" w:rsidRDefault="0002105E" w:rsidP="0002105E">
            <w:pPr>
              <w:spacing w:after="0" w:line="240" w:lineRule="auto"/>
              <w:jc w:val="center"/>
              <w:rPr>
                <w:rFonts w:asciiTheme="minorHAnsi" w:hAnsiTheme="minorHAnsi" w:cstheme="minorHAnsi"/>
                <w:b/>
              </w:rPr>
            </w:pPr>
            <w:r w:rsidRPr="00E01BF2">
              <w:rPr>
                <w:rFonts w:asciiTheme="minorHAnsi" w:hAnsiTheme="minorHAnsi" w:cstheme="minorHAnsi"/>
                <w:b/>
              </w:rPr>
              <w:t>7</w:t>
            </w:r>
          </w:p>
        </w:tc>
        <w:tc>
          <w:tcPr>
            <w:tcW w:w="2255" w:type="dxa"/>
          </w:tcPr>
          <w:p w:rsidR="0002105E" w:rsidRPr="00E01BF2" w:rsidRDefault="0002105E" w:rsidP="0002105E">
            <w:pPr>
              <w:spacing w:after="0" w:line="240" w:lineRule="auto"/>
              <w:jc w:val="center"/>
              <w:rPr>
                <w:rFonts w:asciiTheme="minorHAnsi" w:hAnsiTheme="minorHAnsi" w:cstheme="minorHAnsi"/>
                <w:b/>
              </w:rPr>
            </w:pPr>
            <w:r w:rsidRPr="00E01BF2">
              <w:rPr>
                <w:rFonts w:asciiTheme="minorHAnsi" w:hAnsiTheme="minorHAnsi" w:cstheme="minorHAnsi"/>
                <w:b/>
              </w:rPr>
              <w:t>37</w:t>
            </w:r>
          </w:p>
        </w:tc>
      </w:tr>
      <w:tr w:rsidR="0002105E" w:rsidRPr="007C4447" w:rsidTr="0002105E">
        <w:tc>
          <w:tcPr>
            <w:tcW w:w="3256" w:type="dxa"/>
          </w:tcPr>
          <w:p w:rsidR="0002105E" w:rsidRPr="007C4447" w:rsidRDefault="0002105E" w:rsidP="0002105E">
            <w:pPr>
              <w:spacing w:after="0" w:line="240" w:lineRule="auto"/>
              <w:rPr>
                <w:rFonts w:asciiTheme="minorHAnsi" w:hAnsiTheme="minorHAnsi" w:cstheme="minorHAnsi"/>
              </w:rPr>
            </w:pPr>
            <w:r w:rsidRPr="007C4447">
              <w:rPr>
                <w:rFonts w:asciiTheme="minorHAnsi" w:hAnsiTheme="minorHAnsi" w:cstheme="minorHAnsi"/>
              </w:rPr>
              <w:t>Ingyenes gyermekétkeztetésben részesül</w:t>
            </w:r>
          </w:p>
        </w:tc>
        <w:tc>
          <w:tcPr>
            <w:tcW w:w="2551"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9</w:t>
            </w:r>
          </w:p>
        </w:tc>
        <w:tc>
          <w:tcPr>
            <w:tcW w:w="2410"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101</w:t>
            </w:r>
          </w:p>
        </w:tc>
        <w:tc>
          <w:tcPr>
            <w:tcW w:w="2255"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80</w:t>
            </w:r>
          </w:p>
        </w:tc>
      </w:tr>
      <w:tr w:rsidR="0002105E" w:rsidRPr="007C4447" w:rsidTr="0002105E">
        <w:tc>
          <w:tcPr>
            <w:tcW w:w="3256" w:type="dxa"/>
          </w:tcPr>
          <w:p w:rsidR="0002105E" w:rsidRPr="007C4447" w:rsidRDefault="0002105E" w:rsidP="0002105E">
            <w:pPr>
              <w:spacing w:after="0" w:line="240" w:lineRule="auto"/>
              <w:rPr>
                <w:rFonts w:asciiTheme="minorHAnsi" w:hAnsiTheme="minorHAnsi" w:cstheme="minorHAnsi"/>
              </w:rPr>
            </w:pPr>
            <w:r w:rsidRPr="007C4447">
              <w:rPr>
                <w:rFonts w:asciiTheme="minorHAnsi" w:hAnsiTheme="minorHAnsi" w:cstheme="minorHAnsi"/>
              </w:rPr>
              <w:t>Kedvezményes gyermekétkeztetésben részesül</w:t>
            </w:r>
            <w:r w:rsidR="00E01BF2">
              <w:rPr>
                <w:rFonts w:asciiTheme="minorHAnsi" w:hAnsiTheme="minorHAnsi" w:cstheme="minorHAnsi"/>
              </w:rPr>
              <w:t xml:space="preserve"> </w:t>
            </w:r>
          </w:p>
        </w:tc>
        <w:tc>
          <w:tcPr>
            <w:tcW w:w="2551"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w:t>
            </w:r>
          </w:p>
        </w:tc>
        <w:tc>
          <w:tcPr>
            <w:tcW w:w="2410"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w:t>
            </w:r>
          </w:p>
        </w:tc>
        <w:tc>
          <w:tcPr>
            <w:tcW w:w="2255"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29</w:t>
            </w:r>
          </w:p>
        </w:tc>
      </w:tr>
      <w:tr w:rsidR="0002105E" w:rsidRPr="007C4447" w:rsidTr="0002105E">
        <w:tc>
          <w:tcPr>
            <w:tcW w:w="3256" w:type="dxa"/>
          </w:tcPr>
          <w:p w:rsidR="0002105E" w:rsidRPr="007C4447" w:rsidRDefault="0002105E" w:rsidP="0002105E">
            <w:pPr>
              <w:spacing w:after="0" w:line="240" w:lineRule="auto"/>
              <w:rPr>
                <w:rFonts w:asciiTheme="minorHAnsi" w:hAnsiTheme="minorHAnsi" w:cstheme="minorHAnsi"/>
              </w:rPr>
            </w:pPr>
            <w:r w:rsidRPr="007C4447">
              <w:rPr>
                <w:rFonts w:asciiTheme="minorHAnsi" w:hAnsiTheme="minorHAnsi" w:cstheme="minorHAnsi"/>
              </w:rPr>
              <w:t>Gyermekétkeztetésben részt vevők száma összesen:</w:t>
            </w:r>
          </w:p>
        </w:tc>
        <w:tc>
          <w:tcPr>
            <w:tcW w:w="2551"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10</w:t>
            </w:r>
          </w:p>
        </w:tc>
        <w:tc>
          <w:tcPr>
            <w:tcW w:w="2410" w:type="dxa"/>
          </w:tcPr>
          <w:p w:rsidR="0002105E" w:rsidRPr="007C4447" w:rsidRDefault="0002105E" w:rsidP="0002105E">
            <w:pPr>
              <w:spacing w:after="0" w:line="240" w:lineRule="auto"/>
              <w:jc w:val="center"/>
              <w:rPr>
                <w:rFonts w:asciiTheme="minorHAnsi" w:hAnsiTheme="minorHAnsi" w:cstheme="minorHAnsi"/>
              </w:rPr>
            </w:pPr>
            <w:r w:rsidRPr="007C4447">
              <w:rPr>
                <w:rFonts w:asciiTheme="minorHAnsi" w:hAnsiTheme="minorHAnsi" w:cstheme="minorHAnsi"/>
              </w:rPr>
              <w:t>108</w:t>
            </w:r>
          </w:p>
        </w:tc>
        <w:tc>
          <w:tcPr>
            <w:tcW w:w="2255" w:type="dxa"/>
          </w:tcPr>
          <w:p w:rsidR="0002105E" w:rsidRPr="007C4447" w:rsidRDefault="0002105E" w:rsidP="0050126C">
            <w:pPr>
              <w:spacing w:after="0" w:line="240" w:lineRule="auto"/>
              <w:jc w:val="center"/>
              <w:rPr>
                <w:rFonts w:asciiTheme="minorHAnsi" w:hAnsiTheme="minorHAnsi" w:cstheme="minorHAnsi"/>
              </w:rPr>
            </w:pPr>
            <w:r w:rsidRPr="007C4447">
              <w:rPr>
                <w:rFonts w:asciiTheme="minorHAnsi" w:hAnsiTheme="minorHAnsi" w:cstheme="minorHAnsi"/>
              </w:rPr>
              <w:t>1</w:t>
            </w:r>
            <w:r w:rsidR="0050126C">
              <w:rPr>
                <w:rFonts w:asciiTheme="minorHAnsi" w:hAnsiTheme="minorHAnsi" w:cstheme="minorHAnsi"/>
              </w:rPr>
              <w:t>4</w:t>
            </w:r>
            <w:r w:rsidRPr="007C4447">
              <w:rPr>
                <w:rFonts w:asciiTheme="minorHAnsi" w:hAnsiTheme="minorHAnsi" w:cstheme="minorHAnsi"/>
              </w:rPr>
              <w:t>6</w:t>
            </w:r>
          </w:p>
        </w:tc>
      </w:tr>
    </w:tbl>
    <w:p w:rsidR="00CC43F7" w:rsidRDefault="00CC43F7" w:rsidP="007D5880">
      <w:pPr>
        <w:pStyle w:val="NormlWeb"/>
        <w:shd w:val="clear" w:color="auto" w:fill="FFFFFF"/>
        <w:spacing w:before="0" w:beforeAutospacing="0" w:after="360" w:afterAutospacing="0"/>
        <w:jc w:val="both"/>
        <w:textAlignment w:val="baseline"/>
        <w:rPr>
          <w:rFonts w:asciiTheme="minorHAnsi" w:eastAsia="Calibri" w:hAnsiTheme="minorHAnsi" w:cstheme="minorHAnsi"/>
          <w:sz w:val="22"/>
          <w:szCs w:val="22"/>
          <w:lang w:eastAsia="en-US"/>
        </w:rPr>
      </w:pPr>
    </w:p>
    <w:p w:rsidR="00CC43F7" w:rsidRPr="00870907" w:rsidRDefault="00CC43F7" w:rsidP="00CC43F7">
      <w:pPr>
        <w:pStyle w:val="NormlWeb"/>
        <w:numPr>
          <w:ilvl w:val="0"/>
          <w:numId w:val="4"/>
        </w:numPr>
        <w:shd w:val="clear" w:color="auto" w:fill="FFFFFF"/>
        <w:spacing w:before="0" w:beforeAutospacing="0" w:after="360" w:afterAutospacing="0"/>
        <w:jc w:val="both"/>
        <w:textAlignment w:val="baseline"/>
        <w:rPr>
          <w:rFonts w:asciiTheme="minorHAnsi" w:eastAsia="Calibri" w:hAnsiTheme="minorHAnsi" w:cstheme="minorHAnsi"/>
          <w:b/>
          <w:sz w:val="22"/>
          <w:szCs w:val="22"/>
          <w:lang w:eastAsia="en-US"/>
        </w:rPr>
      </w:pPr>
      <w:r w:rsidRPr="00870907">
        <w:rPr>
          <w:rFonts w:asciiTheme="minorHAnsi" w:eastAsia="Calibri" w:hAnsiTheme="minorHAnsi" w:cstheme="minorHAnsi"/>
          <w:b/>
          <w:sz w:val="22"/>
          <w:szCs w:val="22"/>
          <w:lang w:eastAsia="en-US"/>
        </w:rPr>
        <w:t>A lakhatás támogatásához való hozzájárulás szabályozásának módosítása</w:t>
      </w:r>
    </w:p>
    <w:p w:rsidR="00ED094D" w:rsidRDefault="00CC43F7" w:rsidP="00870907">
      <w:pPr>
        <w:pStyle w:val="NormlWeb"/>
        <w:shd w:val="clear" w:color="auto" w:fill="FFFFFF"/>
        <w:spacing w:before="0" w:beforeAutospacing="0" w:after="360" w:afterAutospacing="0"/>
        <w:jc w:val="both"/>
        <w:textAlignment w:val="baselin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 lakhatás támogatásához való hozzájárulás hatályos rendeletünkben két jogcímen vehető igény</w:t>
      </w:r>
      <w:r w:rsidR="0050126C">
        <w:rPr>
          <w:rFonts w:asciiTheme="minorHAnsi" w:eastAsia="Calibri" w:hAnsiTheme="minorHAnsi" w:cstheme="minorHAnsi"/>
          <w:sz w:val="22"/>
          <w:szCs w:val="22"/>
          <w:lang w:eastAsia="en-US"/>
        </w:rPr>
        <w:t>be. Fűtési támogatásként, október 15-től április</w:t>
      </w:r>
      <w:r>
        <w:rPr>
          <w:rFonts w:asciiTheme="minorHAnsi" w:eastAsia="Calibri" w:hAnsiTheme="minorHAnsi" w:cstheme="minorHAnsi"/>
          <w:sz w:val="22"/>
          <w:szCs w:val="22"/>
          <w:lang w:eastAsia="en-US"/>
        </w:rPr>
        <w:t xml:space="preserve"> 15-ig, havi 7500 Ft. </w:t>
      </w:r>
      <w:proofErr w:type="gramStart"/>
      <w:r>
        <w:rPr>
          <w:rFonts w:asciiTheme="minorHAnsi" w:eastAsia="Calibri" w:hAnsiTheme="minorHAnsi" w:cstheme="minorHAnsi"/>
          <w:sz w:val="22"/>
          <w:szCs w:val="22"/>
          <w:lang w:eastAsia="en-US"/>
        </w:rPr>
        <w:t>összegű</w:t>
      </w:r>
      <w:proofErr w:type="gramEnd"/>
      <w:r>
        <w:rPr>
          <w:rFonts w:asciiTheme="minorHAnsi" w:eastAsia="Calibri" w:hAnsiTheme="minorHAnsi" w:cstheme="minorHAnsi"/>
          <w:sz w:val="22"/>
          <w:szCs w:val="22"/>
          <w:lang w:eastAsia="en-US"/>
        </w:rPr>
        <w:t xml:space="preserve"> támogatásként (jövedelemhatár: 71.250 Ft.)</w:t>
      </w:r>
      <w:r w:rsidR="00870907">
        <w:rPr>
          <w:rFonts w:asciiTheme="minorHAnsi" w:eastAsia="Calibri" w:hAnsiTheme="minorHAnsi" w:cstheme="minorHAnsi"/>
          <w:sz w:val="22"/>
          <w:szCs w:val="22"/>
          <w:lang w:eastAsia="en-US"/>
        </w:rPr>
        <w:t xml:space="preserve"> Közüzemi díj támogatásként január 01-től december 31-ig, havi 7500 Ft. </w:t>
      </w:r>
      <w:proofErr w:type="gramStart"/>
      <w:r w:rsidR="00870907">
        <w:rPr>
          <w:rFonts w:asciiTheme="minorHAnsi" w:eastAsia="Calibri" w:hAnsiTheme="minorHAnsi" w:cstheme="minorHAnsi"/>
          <w:sz w:val="22"/>
          <w:szCs w:val="22"/>
          <w:lang w:eastAsia="en-US"/>
        </w:rPr>
        <w:t>összegben</w:t>
      </w:r>
      <w:proofErr w:type="gramEnd"/>
      <w:r w:rsidR="00870907">
        <w:rPr>
          <w:rFonts w:asciiTheme="minorHAnsi" w:eastAsia="Calibri" w:hAnsiTheme="minorHAnsi" w:cstheme="minorHAnsi"/>
          <w:sz w:val="22"/>
          <w:szCs w:val="22"/>
          <w:lang w:eastAsia="en-US"/>
        </w:rPr>
        <w:t xml:space="preserve"> (jövedelemhatár: </w:t>
      </w:r>
      <w:r w:rsidR="00ED094D">
        <w:rPr>
          <w:rFonts w:asciiTheme="minorHAnsi" w:eastAsia="Calibri" w:hAnsiTheme="minorHAnsi" w:cstheme="minorHAnsi"/>
          <w:sz w:val="22"/>
          <w:szCs w:val="22"/>
          <w:lang w:eastAsia="en-US"/>
        </w:rPr>
        <w:t xml:space="preserve">  </w:t>
      </w:r>
      <w:r w:rsidR="00870907">
        <w:rPr>
          <w:rFonts w:asciiTheme="minorHAnsi" w:eastAsia="Calibri" w:hAnsiTheme="minorHAnsi" w:cstheme="minorHAnsi"/>
          <w:sz w:val="22"/>
          <w:szCs w:val="22"/>
          <w:lang w:eastAsia="en-US"/>
        </w:rPr>
        <w:t>57.000 Ft.)</w:t>
      </w:r>
      <w:r w:rsidR="00ED094D">
        <w:rPr>
          <w:rFonts w:asciiTheme="minorHAnsi" w:eastAsia="Calibri" w:hAnsiTheme="minorHAnsi" w:cstheme="minorHAnsi"/>
          <w:sz w:val="22"/>
          <w:szCs w:val="22"/>
          <w:lang w:eastAsia="en-US"/>
        </w:rPr>
        <w:t xml:space="preserve">. A jogosultsági feltételek megléte esetén a támogatás akár egyszerre, mindkét jogcímen igénybe vehető.  A közüzemi díj támogatásra jogosultak ezért jellemzően igénylik a fűtési támogatást is. </w:t>
      </w:r>
    </w:p>
    <w:p w:rsidR="00ED094D" w:rsidRDefault="00ED094D" w:rsidP="00870907">
      <w:pPr>
        <w:pStyle w:val="NormlWeb"/>
        <w:shd w:val="clear" w:color="auto" w:fill="FFFFFF"/>
        <w:spacing w:before="0" w:beforeAutospacing="0" w:after="360" w:afterAutospacing="0"/>
        <w:jc w:val="both"/>
        <w:textAlignment w:val="baselin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 A rendelet-tervezet </w:t>
      </w:r>
      <w:r w:rsidR="002A309F">
        <w:rPr>
          <w:rFonts w:asciiTheme="minorHAnsi" w:eastAsia="Calibri" w:hAnsiTheme="minorHAnsi" w:cstheme="minorHAnsi"/>
          <w:sz w:val="22"/>
          <w:szCs w:val="22"/>
          <w:lang w:eastAsia="en-US"/>
        </w:rPr>
        <w:t xml:space="preserve">megszüntetné ezt a kettőséget, és a lakhatási támogatást egy jogcímen lehetne igénybe venni tárgyév december 31-ig, havonta 12.000 Ft. </w:t>
      </w:r>
      <w:proofErr w:type="gramStart"/>
      <w:r w:rsidR="002A309F">
        <w:rPr>
          <w:rFonts w:asciiTheme="minorHAnsi" w:eastAsia="Calibri" w:hAnsiTheme="minorHAnsi" w:cstheme="minorHAnsi"/>
          <w:sz w:val="22"/>
          <w:szCs w:val="22"/>
          <w:lang w:eastAsia="en-US"/>
        </w:rPr>
        <w:t>összegben</w:t>
      </w:r>
      <w:proofErr w:type="gramEnd"/>
      <w:r w:rsidR="002A309F">
        <w:rPr>
          <w:rFonts w:asciiTheme="minorHAnsi" w:eastAsia="Calibri" w:hAnsiTheme="minorHAnsi" w:cstheme="minorHAnsi"/>
          <w:sz w:val="22"/>
          <w:szCs w:val="22"/>
          <w:lang w:eastAsia="en-US"/>
        </w:rPr>
        <w:t xml:space="preserve"> azzal, hogy a támogatás benyújtása folyamatos.</w:t>
      </w:r>
    </w:p>
    <w:p w:rsidR="00F0037E" w:rsidRPr="003E4296" w:rsidRDefault="00F0037E" w:rsidP="003E4296">
      <w:pPr>
        <w:pStyle w:val="NormlWeb"/>
        <w:numPr>
          <w:ilvl w:val="0"/>
          <w:numId w:val="4"/>
        </w:numPr>
        <w:shd w:val="clear" w:color="auto" w:fill="FFFFFF"/>
        <w:spacing w:before="0" w:beforeAutospacing="0" w:after="360" w:afterAutospacing="0"/>
        <w:jc w:val="both"/>
        <w:textAlignment w:val="baseline"/>
        <w:rPr>
          <w:rFonts w:asciiTheme="minorHAnsi" w:eastAsia="Calibri" w:hAnsiTheme="minorHAnsi" w:cstheme="minorHAnsi"/>
          <w:b/>
          <w:sz w:val="22"/>
          <w:szCs w:val="22"/>
          <w:lang w:eastAsia="en-US"/>
        </w:rPr>
      </w:pPr>
      <w:r w:rsidRPr="003E4296">
        <w:rPr>
          <w:rFonts w:asciiTheme="minorHAnsi" w:eastAsia="Calibri" w:hAnsiTheme="minorHAnsi" w:cstheme="minorHAnsi"/>
          <w:b/>
          <w:sz w:val="22"/>
          <w:szCs w:val="22"/>
          <w:lang w:eastAsia="en-US"/>
        </w:rPr>
        <w:t>Jövedelemhatárok és az ellátások összegének emelése</w:t>
      </w:r>
    </w:p>
    <w:p w:rsidR="007D5880" w:rsidRPr="00B001A9" w:rsidRDefault="003E4296" w:rsidP="007D5880">
      <w:pPr>
        <w:pStyle w:val="NormlWeb"/>
        <w:shd w:val="clear" w:color="auto" w:fill="FFFFFF"/>
        <w:spacing w:before="0" w:beforeAutospacing="0" w:after="360" w:afterAutospacing="0"/>
        <w:jc w:val="both"/>
        <w:textAlignment w:val="baseline"/>
        <w:rPr>
          <w:rFonts w:asciiTheme="minorHAnsi" w:hAnsiTheme="minorHAnsi" w:cstheme="minorHAnsi"/>
          <w:sz w:val="22"/>
          <w:szCs w:val="22"/>
        </w:rPr>
      </w:pPr>
      <w:r w:rsidRPr="00B001A9">
        <w:rPr>
          <w:rFonts w:asciiTheme="minorHAnsi" w:hAnsiTheme="minorHAnsi" w:cstheme="minorHAnsi"/>
          <w:sz w:val="22"/>
          <w:szCs w:val="22"/>
        </w:rPr>
        <w:t>A</w:t>
      </w:r>
      <w:r w:rsidR="007D5880" w:rsidRPr="00B001A9">
        <w:rPr>
          <w:rFonts w:asciiTheme="minorHAnsi" w:hAnsiTheme="minorHAnsi" w:cstheme="minorHAnsi"/>
          <w:sz w:val="22"/>
          <w:szCs w:val="22"/>
        </w:rPr>
        <w:t xml:space="preserve"> hatályos szociális rendeletünkben a jövedelemhatárok 2016. év óta nem változtak. Az elmúlt hét évben bekövetkezett minimálbér és garantált bérminimum, valamint nyugdíj emelkedések miatt szükségessé vált a</w:t>
      </w:r>
      <w:r w:rsidRPr="00B001A9">
        <w:rPr>
          <w:rFonts w:asciiTheme="minorHAnsi" w:hAnsiTheme="minorHAnsi" w:cstheme="minorHAnsi"/>
          <w:sz w:val="22"/>
          <w:szCs w:val="22"/>
        </w:rPr>
        <w:t xml:space="preserve"> jövedelemhatárok módosítása i</w:t>
      </w:r>
      <w:r w:rsidR="007D5880" w:rsidRPr="00B001A9">
        <w:rPr>
          <w:rFonts w:asciiTheme="minorHAnsi" w:hAnsiTheme="minorHAnsi" w:cstheme="minorHAnsi"/>
          <w:sz w:val="22"/>
          <w:szCs w:val="22"/>
        </w:rPr>
        <w:t>annak érdekében, hogy a rendelet, illetve az abban szabályozott ellátások, juttatások a rendeltetésüket be tudják tölteni.</w:t>
      </w:r>
      <w:r w:rsidRPr="00B001A9">
        <w:rPr>
          <w:rFonts w:asciiTheme="minorHAnsi" w:hAnsiTheme="minorHAnsi" w:cstheme="minorHAnsi"/>
          <w:sz w:val="22"/>
          <w:szCs w:val="22"/>
        </w:rPr>
        <w:t xml:space="preserve"> Ugyanezen okból indokolt a támogatási összegek felülvizsgálata és egyes ellátások esetében emelése.</w:t>
      </w:r>
    </w:p>
    <w:p w:rsidR="00157F9E" w:rsidRPr="00B001A9" w:rsidRDefault="00157F9E" w:rsidP="007D5880">
      <w:pPr>
        <w:pStyle w:val="NormlWeb"/>
        <w:shd w:val="clear" w:color="auto" w:fill="FFFFFF"/>
        <w:spacing w:before="0" w:beforeAutospacing="0" w:after="360" w:afterAutospacing="0"/>
        <w:jc w:val="both"/>
        <w:textAlignment w:val="baseline"/>
        <w:rPr>
          <w:rFonts w:asciiTheme="minorHAnsi" w:hAnsiTheme="minorHAnsi" w:cstheme="minorHAnsi"/>
          <w:sz w:val="22"/>
          <w:szCs w:val="22"/>
        </w:rPr>
      </w:pPr>
      <w:r w:rsidRPr="00B001A9">
        <w:rPr>
          <w:rFonts w:asciiTheme="minorHAnsi" w:hAnsiTheme="minorHAnsi" w:cstheme="minorHAnsi"/>
          <w:sz w:val="22"/>
          <w:szCs w:val="22"/>
        </w:rPr>
        <w:t>A hatályos, illetve tervezett támogatási összegek és a jövedelemhatárok az előterjesztéshez csatolt táblázatban kerülnek bemutatásra.</w:t>
      </w:r>
    </w:p>
    <w:p w:rsidR="00AE2FF5" w:rsidRPr="00B001A9" w:rsidRDefault="00AE2FF5" w:rsidP="00AE2FF5">
      <w:pPr>
        <w:jc w:val="both"/>
        <w:rPr>
          <w:rFonts w:asciiTheme="minorHAnsi" w:hAnsiTheme="minorHAnsi" w:cstheme="minorHAnsi"/>
          <w:shd w:val="clear" w:color="auto" w:fill="FBFBFB"/>
        </w:rPr>
      </w:pPr>
    </w:p>
    <w:p w:rsidR="00AE2FF5" w:rsidRPr="00B001A9" w:rsidRDefault="005D079E" w:rsidP="00AE2FF5">
      <w:pPr>
        <w:jc w:val="both"/>
        <w:rPr>
          <w:rFonts w:asciiTheme="minorHAnsi" w:hAnsiTheme="minorHAnsi" w:cstheme="minorHAnsi"/>
          <w:shd w:val="clear" w:color="auto" w:fill="FBFBFB"/>
        </w:rPr>
      </w:pPr>
      <w:r w:rsidRPr="00B001A9">
        <w:rPr>
          <w:rFonts w:asciiTheme="minorHAnsi" w:hAnsiTheme="minorHAnsi" w:cstheme="minorHAnsi"/>
          <w:shd w:val="clear" w:color="auto" w:fill="FBFBFB"/>
        </w:rPr>
        <w:t>Fentiek alapján kérem a T. Képviselő-testületet a rendelet tervezet elfogadására.</w:t>
      </w:r>
    </w:p>
    <w:p w:rsidR="005D079E" w:rsidRPr="00B001A9" w:rsidRDefault="005D079E" w:rsidP="00AE2FF5">
      <w:pPr>
        <w:jc w:val="both"/>
        <w:rPr>
          <w:rFonts w:asciiTheme="minorHAnsi" w:hAnsiTheme="minorHAnsi" w:cstheme="minorHAnsi"/>
          <w:shd w:val="clear" w:color="auto" w:fill="FBFBFB"/>
        </w:rPr>
      </w:pPr>
    </w:p>
    <w:p w:rsidR="005D079E" w:rsidRDefault="005D079E" w:rsidP="00AE2FF5">
      <w:pPr>
        <w:jc w:val="both"/>
        <w:rPr>
          <w:rFonts w:asciiTheme="minorHAnsi" w:hAnsiTheme="minorHAnsi" w:cstheme="minorHAnsi"/>
          <w:color w:val="000000"/>
          <w:shd w:val="clear" w:color="auto" w:fill="FBFBFB"/>
        </w:rPr>
      </w:pPr>
      <w:r>
        <w:rPr>
          <w:rFonts w:asciiTheme="minorHAnsi" w:hAnsiTheme="minorHAnsi" w:cstheme="minorHAnsi"/>
          <w:color w:val="000000"/>
          <w:shd w:val="clear" w:color="auto" w:fill="FBFBFB"/>
        </w:rPr>
        <w:t>Csemő, 2024. január 23.</w:t>
      </w:r>
    </w:p>
    <w:p w:rsidR="005D079E" w:rsidRDefault="005D079E" w:rsidP="00AE2FF5">
      <w:pPr>
        <w:jc w:val="both"/>
        <w:rPr>
          <w:rFonts w:asciiTheme="minorHAnsi" w:hAnsiTheme="minorHAnsi" w:cstheme="minorHAnsi"/>
          <w:color w:val="000000"/>
          <w:shd w:val="clear" w:color="auto" w:fill="FBFBFB"/>
        </w:rPr>
      </w:pPr>
    </w:p>
    <w:p w:rsidR="005D079E" w:rsidRDefault="005D079E" w:rsidP="005D079E">
      <w:pPr>
        <w:spacing w:after="0" w:line="240" w:lineRule="auto"/>
        <w:jc w:val="right"/>
        <w:rPr>
          <w:rFonts w:asciiTheme="minorHAnsi" w:hAnsiTheme="minorHAnsi" w:cstheme="minorHAnsi"/>
          <w:color w:val="000000"/>
          <w:shd w:val="clear" w:color="auto" w:fill="FBFBFB"/>
        </w:rPr>
      </w:pPr>
      <w:r>
        <w:rPr>
          <w:rFonts w:asciiTheme="minorHAnsi" w:hAnsiTheme="minorHAnsi" w:cstheme="minorHAnsi"/>
          <w:color w:val="000000"/>
          <w:shd w:val="clear" w:color="auto" w:fill="FBFBFB"/>
        </w:rPr>
        <w:t>Bögös István</w:t>
      </w:r>
    </w:p>
    <w:p w:rsidR="005D079E" w:rsidRPr="007C4447" w:rsidRDefault="005D079E" w:rsidP="005D079E">
      <w:pPr>
        <w:spacing w:after="0" w:line="240" w:lineRule="auto"/>
        <w:jc w:val="right"/>
        <w:rPr>
          <w:rFonts w:asciiTheme="minorHAnsi" w:hAnsiTheme="minorHAnsi" w:cstheme="minorHAnsi"/>
          <w:color w:val="000000"/>
          <w:shd w:val="clear" w:color="auto" w:fill="FBFBFB"/>
        </w:rPr>
      </w:pPr>
      <w:proofErr w:type="gramStart"/>
      <w:r>
        <w:rPr>
          <w:rFonts w:asciiTheme="minorHAnsi" w:hAnsiTheme="minorHAnsi" w:cstheme="minorHAnsi"/>
          <w:color w:val="000000"/>
          <w:shd w:val="clear" w:color="auto" w:fill="FBFBFB"/>
        </w:rPr>
        <w:t>alpolgármester</w:t>
      </w:r>
      <w:proofErr w:type="gramEnd"/>
    </w:p>
    <w:p w:rsidR="00AE2FF5" w:rsidRPr="007C4447" w:rsidRDefault="00AE2FF5" w:rsidP="00AE2FF5">
      <w:pPr>
        <w:jc w:val="both"/>
        <w:rPr>
          <w:rFonts w:asciiTheme="minorHAnsi" w:hAnsiTheme="minorHAnsi" w:cstheme="minorHAnsi"/>
          <w:color w:val="000000"/>
          <w:shd w:val="clear" w:color="auto" w:fill="FBFBFB"/>
        </w:rPr>
      </w:pPr>
    </w:p>
    <w:p w:rsidR="00AE2FF5" w:rsidRDefault="00AE2FF5"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Default="00590D10" w:rsidP="00AE2FF5">
      <w:pPr>
        <w:jc w:val="both"/>
        <w:rPr>
          <w:rFonts w:asciiTheme="minorHAnsi" w:hAnsiTheme="minorHAnsi" w:cstheme="minorHAnsi"/>
          <w:color w:val="000000"/>
          <w:shd w:val="clear" w:color="auto" w:fill="FBFBFB"/>
        </w:rPr>
      </w:pPr>
    </w:p>
    <w:p w:rsidR="00590D10" w:rsidRPr="00590D10" w:rsidRDefault="00590D10" w:rsidP="00590D10">
      <w:pPr>
        <w:spacing w:after="160" w:line="259" w:lineRule="auto"/>
        <w:jc w:val="center"/>
        <w:rPr>
          <w:rFonts w:asciiTheme="minorHAnsi" w:eastAsiaTheme="minorHAnsi" w:hAnsiTheme="minorHAnsi" w:cstheme="minorBidi"/>
          <w:b/>
          <w:sz w:val="24"/>
          <w:szCs w:val="24"/>
        </w:rPr>
      </w:pPr>
      <w:r w:rsidRPr="00590D10">
        <w:rPr>
          <w:rFonts w:asciiTheme="minorHAnsi" w:eastAsiaTheme="minorHAnsi" w:hAnsiTheme="minorHAnsi" w:cstheme="minorBidi"/>
          <w:b/>
          <w:sz w:val="24"/>
          <w:szCs w:val="24"/>
        </w:rPr>
        <w:t>Támogatási összegek és jövedelemhatárok a hatályos szociális rendeletben és a szociális rendelet tervezetben</w:t>
      </w:r>
    </w:p>
    <w:p w:rsidR="00590D10" w:rsidRPr="00590D10" w:rsidRDefault="00590D10" w:rsidP="00590D10">
      <w:pPr>
        <w:spacing w:after="160" w:line="259" w:lineRule="auto"/>
        <w:jc w:val="center"/>
        <w:rPr>
          <w:rFonts w:asciiTheme="minorHAnsi" w:eastAsiaTheme="minorHAnsi" w:hAnsiTheme="minorHAnsi" w:cstheme="minorBidi"/>
          <w:b/>
          <w:sz w:val="24"/>
          <w:szCs w:val="24"/>
        </w:rPr>
      </w:pPr>
    </w:p>
    <w:tbl>
      <w:tblPr>
        <w:tblStyle w:val="Rcsostblzat"/>
        <w:tblW w:w="5580" w:type="pct"/>
        <w:tblInd w:w="-289" w:type="dxa"/>
        <w:tblLook w:val="04A0" w:firstRow="1" w:lastRow="0" w:firstColumn="1" w:lastColumn="0" w:noHBand="0" w:noVBand="1"/>
      </w:tblPr>
      <w:tblGrid>
        <w:gridCol w:w="2125"/>
        <w:gridCol w:w="1188"/>
        <w:gridCol w:w="1013"/>
        <w:gridCol w:w="1039"/>
        <w:gridCol w:w="1133"/>
        <w:gridCol w:w="1241"/>
        <w:gridCol w:w="1133"/>
        <w:gridCol w:w="1241"/>
      </w:tblGrid>
      <w:tr w:rsidR="00590D10" w:rsidRPr="00590D10" w:rsidTr="00590D10">
        <w:tc>
          <w:tcPr>
            <w:tcW w:w="1051" w:type="pct"/>
            <w:vMerge w:val="restart"/>
          </w:tcPr>
          <w:p w:rsidR="00590D10" w:rsidRPr="00590D10" w:rsidRDefault="00590D10" w:rsidP="00590D10">
            <w:pPr>
              <w:spacing w:beforeAutospacing="1" w:after="0" w:afterAutospacing="1"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 xml:space="preserve">  </w:t>
            </w:r>
          </w:p>
        </w:tc>
        <w:tc>
          <w:tcPr>
            <w:tcW w:w="587" w:type="pct"/>
            <w:vMerge w:val="restart"/>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p>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Igénybe vevők száma 2023. évben</w:t>
            </w:r>
          </w:p>
        </w:tc>
        <w:tc>
          <w:tcPr>
            <w:tcW w:w="1015"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Támogatás összege</w:t>
            </w:r>
          </w:p>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p>
        </w:tc>
        <w:tc>
          <w:tcPr>
            <w:tcW w:w="2347" w:type="pct"/>
            <w:gridSpan w:val="4"/>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Jövedelemhatárok</w:t>
            </w:r>
          </w:p>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a szociális vetítési alap %-ában meghatározva</w:t>
            </w:r>
          </w:p>
        </w:tc>
      </w:tr>
      <w:tr w:rsidR="00590D10" w:rsidRPr="00590D10" w:rsidTr="00590D10">
        <w:tc>
          <w:tcPr>
            <w:tcW w:w="1051" w:type="pct"/>
            <w:vMerge/>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p>
        </w:tc>
        <w:tc>
          <w:tcPr>
            <w:tcW w:w="587" w:type="pct"/>
            <w:vMerge/>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p>
        </w:tc>
        <w:tc>
          <w:tcPr>
            <w:tcW w:w="501" w:type="pct"/>
            <w:vMerge w:val="restart"/>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Hatályos rendelet</w:t>
            </w:r>
          </w:p>
        </w:tc>
        <w:tc>
          <w:tcPr>
            <w:tcW w:w="514" w:type="pct"/>
            <w:vMerge w:val="restart"/>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Rendelet tervezet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Hatályos rendelet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lang w:eastAsia="hu-HU"/>
              </w:rPr>
              <w:t>Rendelet tervezet</w:t>
            </w:r>
          </w:p>
        </w:tc>
      </w:tr>
      <w:tr w:rsidR="00590D10" w:rsidRPr="00590D10" w:rsidTr="00590D10">
        <w:trPr>
          <w:trHeight w:val="632"/>
        </w:trPr>
        <w:tc>
          <w:tcPr>
            <w:tcW w:w="1051" w:type="pct"/>
            <w:vMerge/>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p>
        </w:tc>
        <w:tc>
          <w:tcPr>
            <w:tcW w:w="587" w:type="pct"/>
            <w:vMerge/>
          </w:tcPr>
          <w:p w:rsidR="00590D10" w:rsidRPr="00590D10" w:rsidRDefault="00590D10" w:rsidP="00590D10">
            <w:pPr>
              <w:spacing w:after="0" w:line="240" w:lineRule="auto"/>
              <w:textAlignment w:val="baseline"/>
              <w:rPr>
                <w:rFonts w:asciiTheme="minorHAnsi" w:eastAsia="Times New Roman" w:hAnsiTheme="minorHAnsi" w:cstheme="minorHAnsi"/>
                <w:b/>
                <w:lang w:eastAsia="hu-HU"/>
              </w:rPr>
            </w:pPr>
          </w:p>
        </w:tc>
        <w:tc>
          <w:tcPr>
            <w:tcW w:w="501" w:type="pct"/>
            <w:vMerge/>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tc>
        <w:tc>
          <w:tcPr>
            <w:tcW w:w="514" w:type="pct"/>
            <w:vMerge/>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tc>
        <w:tc>
          <w:tcPr>
            <w:tcW w:w="560"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Családban élő</w:t>
            </w:r>
          </w:p>
        </w:tc>
        <w:tc>
          <w:tcPr>
            <w:tcW w:w="6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Egyedülálló</w:t>
            </w:r>
          </w:p>
        </w:tc>
        <w:tc>
          <w:tcPr>
            <w:tcW w:w="560"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Családban élő</w:t>
            </w:r>
          </w:p>
        </w:tc>
        <w:tc>
          <w:tcPr>
            <w:tcW w:w="6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Egyedülálló</w:t>
            </w:r>
          </w:p>
        </w:tc>
      </w:tr>
      <w:tr w:rsidR="00590D10" w:rsidRPr="00590D10" w:rsidTr="00590D10">
        <w:trPr>
          <w:trHeight w:val="632"/>
        </w:trPr>
        <w:tc>
          <w:tcPr>
            <w:tcW w:w="1051" w:type="pct"/>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Rendkívüli települési támogatás</w:t>
            </w:r>
          </w:p>
        </w:tc>
        <w:tc>
          <w:tcPr>
            <w:tcW w:w="587" w:type="pct"/>
          </w:tcPr>
          <w:p w:rsidR="00590D10" w:rsidRPr="00590D10" w:rsidRDefault="00590D10" w:rsidP="00590D10">
            <w:pPr>
              <w:spacing w:after="0" w:line="240" w:lineRule="auto"/>
              <w:textAlignment w:val="baseline"/>
              <w:rPr>
                <w:rFonts w:asciiTheme="minorHAnsi" w:eastAsia="Times New Roman" w:hAnsiTheme="minorHAnsi" w:cstheme="minorHAnsi"/>
                <w:b/>
                <w:lang w:eastAsia="hu-HU"/>
              </w:rPr>
            </w:pPr>
            <w:r w:rsidRPr="00590D10">
              <w:rPr>
                <w:rFonts w:asciiTheme="minorHAnsi" w:eastAsia="Times New Roman" w:hAnsiTheme="minorHAnsi" w:cstheme="minorHAnsi"/>
                <w:b/>
                <w:lang w:eastAsia="hu-HU"/>
              </w:rPr>
              <w:t>21 fő</w:t>
            </w:r>
          </w:p>
        </w:tc>
        <w:tc>
          <w:tcPr>
            <w:tcW w:w="501"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28.500 Ft.</w:t>
            </w:r>
          </w:p>
        </w:tc>
        <w:tc>
          <w:tcPr>
            <w:tcW w:w="5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51.300,- Ft.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 xml:space="preserve">egységesen </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200%</w:t>
            </w:r>
          </w:p>
          <w:p w:rsidR="00590D10" w:rsidRPr="00590D10" w:rsidRDefault="00590D10" w:rsidP="00590D10">
            <w:pPr>
              <w:spacing w:after="0" w:line="240" w:lineRule="auto"/>
              <w:jc w:val="center"/>
              <w:textAlignment w:val="baseline"/>
              <w:rPr>
                <w:rFonts w:asciiTheme="minorHAnsi" w:eastAsia="Times New Roman" w:hAnsiTheme="minorHAnsi" w:cstheme="minorHAnsi"/>
                <w:b/>
                <w:lang w:eastAsia="hu-HU"/>
              </w:rPr>
            </w:pPr>
            <w:r w:rsidRPr="00590D10">
              <w:rPr>
                <w:rFonts w:asciiTheme="minorHAnsi" w:eastAsia="Times New Roman" w:hAnsiTheme="minorHAnsi" w:cstheme="minorHAnsi"/>
                <w:lang w:eastAsia="hu-HU"/>
              </w:rPr>
              <w:t>(57.000,- Ft)</w:t>
            </w:r>
          </w:p>
        </w:tc>
        <w:tc>
          <w:tcPr>
            <w:tcW w:w="560"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300%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(85.500,- Ft.)</w:t>
            </w:r>
          </w:p>
        </w:tc>
        <w:tc>
          <w:tcPr>
            <w:tcW w:w="6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320%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(91.200,- Ft)</w:t>
            </w:r>
          </w:p>
        </w:tc>
      </w:tr>
      <w:tr w:rsidR="00590D10" w:rsidRPr="00590D10" w:rsidTr="00590D10">
        <w:tc>
          <w:tcPr>
            <w:tcW w:w="1051" w:type="pct"/>
            <w:vMerge w:val="restart"/>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p>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Lakhatás támogatásához való hozzájárulás</w:t>
            </w:r>
          </w:p>
        </w:tc>
        <w:tc>
          <w:tcPr>
            <w:tcW w:w="587" w:type="pct"/>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fűtési: 80 fő</w:t>
            </w:r>
          </w:p>
          <w:p w:rsidR="00590D10" w:rsidRPr="00590D10" w:rsidRDefault="00590D10" w:rsidP="00590D10">
            <w:pPr>
              <w:spacing w:after="0" w:line="240" w:lineRule="auto"/>
              <w:jc w:val="center"/>
              <w:textAlignment w:val="baseline"/>
              <w:rPr>
                <w:rFonts w:asciiTheme="minorHAnsi" w:eastAsia="Times New Roman" w:hAnsiTheme="minorHAnsi" w:cstheme="minorHAnsi"/>
                <w:b/>
                <w:lang w:eastAsia="hu-HU"/>
              </w:rPr>
            </w:pPr>
          </w:p>
        </w:tc>
        <w:tc>
          <w:tcPr>
            <w:tcW w:w="501"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7500,- Ft.</w:t>
            </w:r>
          </w:p>
        </w:tc>
        <w:tc>
          <w:tcPr>
            <w:tcW w:w="514" w:type="pct"/>
            <w:vMerge w:val="restar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12.000,- Ft.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egységesen</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fűtési támogatás 250%</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(71.250,- Ft)</w:t>
            </w:r>
          </w:p>
        </w:tc>
        <w:tc>
          <w:tcPr>
            <w:tcW w:w="560" w:type="pct"/>
            <w:vMerge w:val="restar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280%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(79.800,- Ft.)</w:t>
            </w:r>
          </w:p>
        </w:tc>
        <w:tc>
          <w:tcPr>
            <w:tcW w:w="614" w:type="pct"/>
            <w:vMerge w:val="restar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300%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(85.500,- Ft.)</w:t>
            </w:r>
          </w:p>
        </w:tc>
        <w:bookmarkStart w:id="0" w:name="_GoBack"/>
        <w:bookmarkEnd w:id="0"/>
      </w:tr>
      <w:tr w:rsidR="00590D10" w:rsidRPr="00590D10" w:rsidTr="00590D10">
        <w:tc>
          <w:tcPr>
            <w:tcW w:w="1051" w:type="pct"/>
            <w:vMerge/>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p>
        </w:tc>
        <w:tc>
          <w:tcPr>
            <w:tcW w:w="587" w:type="pct"/>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 xml:space="preserve">közüzemi </w:t>
            </w:r>
            <w:proofErr w:type="gramStart"/>
            <w:r w:rsidRPr="00590D10">
              <w:rPr>
                <w:rFonts w:asciiTheme="minorHAnsi" w:eastAsia="Times New Roman" w:hAnsiTheme="minorHAnsi" w:cstheme="minorHAnsi"/>
                <w:lang w:eastAsia="hu-HU"/>
              </w:rPr>
              <w:t>díj :</w:t>
            </w:r>
            <w:proofErr w:type="gramEnd"/>
            <w:r w:rsidRPr="00590D10">
              <w:rPr>
                <w:rFonts w:asciiTheme="minorHAnsi" w:eastAsia="Times New Roman" w:hAnsiTheme="minorHAnsi" w:cstheme="minorHAnsi"/>
                <w:lang w:eastAsia="hu-HU"/>
              </w:rPr>
              <w:t xml:space="preserve"> 114 fő</w:t>
            </w:r>
          </w:p>
        </w:tc>
        <w:tc>
          <w:tcPr>
            <w:tcW w:w="501"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7500,- Ft</w:t>
            </w:r>
          </w:p>
        </w:tc>
        <w:tc>
          <w:tcPr>
            <w:tcW w:w="514" w:type="pct"/>
            <w:vMerge/>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egységesen</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közüzemi díj támogatás 200%</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(57.000,- Ft)</w:t>
            </w:r>
          </w:p>
        </w:tc>
        <w:tc>
          <w:tcPr>
            <w:tcW w:w="560" w:type="pct"/>
            <w:vMerge/>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tc>
        <w:tc>
          <w:tcPr>
            <w:tcW w:w="614" w:type="pct"/>
            <w:vMerge/>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
        </w:tc>
      </w:tr>
      <w:tr w:rsidR="00590D10" w:rsidRPr="00590D10" w:rsidTr="00590D10">
        <w:tc>
          <w:tcPr>
            <w:tcW w:w="1051" w:type="pct"/>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Temetési támogatás</w:t>
            </w:r>
          </w:p>
        </w:tc>
        <w:tc>
          <w:tcPr>
            <w:tcW w:w="587" w:type="pct"/>
          </w:tcPr>
          <w:p w:rsidR="00590D10" w:rsidRPr="00590D10" w:rsidRDefault="00590D10" w:rsidP="00590D10">
            <w:pPr>
              <w:spacing w:after="0" w:line="240" w:lineRule="auto"/>
              <w:jc w:val="both"/>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5 fő</w:t>
            </w:r>
          </w:p>
          <w:p w:rsidR="00590D10" w:rsidRPr="00590D10" w:rsidRDefault="00590D10" w:rsidP="00590D10">
            <w:pPr>
              <w:spacing w:after="0" w:line="240" w:lineRule="auto"/>
              <w:jc w:val="both"/>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 xml:space="preserve">(elhunytak száma a 2023. évben: 46 </w:t>
            </w:r>
            <w:proofErr w:type="gramStart"/>
            <w:r w:rsidRPr="00590D10">
              <w:rPr>
                <w:rFonts w:asciiTheme="minorHAnsi" w:eastAsia="Times New Roman" w:hAnsiTheme="minorHAnsi" w:cstheme="minorHAnsi"/>
                <w:lang w:eastAsia="hu-HU"/>
              </w:rPr>
              <w:t>fő )</w:t>
            </w:r>
            <w:proofErr w:type="gramEnd"/>
          </w:p>
        </w:tc>
        <w:tc>
          <w:tcPr>
            <w:tcW w:w="501"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28.500 Ft.</w:t>
            </w:r>
          </w:p>
        </w:tc>
        <w:tc>
          <w:tcPr>
            <w:tcW w:w="5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50.000,- Ft.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egységesen</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250%</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(71.250,- Ft)</w:t>
            </w:r>
          </w:p>
        </w:tc>
        <w:tc>
          <w:tcPr>
            <w:tcW w:w="560"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300%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(85.500,- Ft.)</w:t>
            </w:r>
          </w:p>
        </w:tc>
        <w:tc>
          <w:tcPr>
            <w:tcW w:w="6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320%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(91.200,- Ft)</w:t>
            </w:r>
          </w:p>
        </w:tc>
      </w:tr>
      <w:tr w:rsidR="00590D10" w:rsidRPr="00590D10" w:rsidTr="00590D10">
        <w:tc>
          <w:tcPr>
            <w:tcW w:w="1051" w:type="pct"/>
          </w:tcPr>
          <w:p w:rsidR="00590D10" w:rsidRPr="00590D10" w:rsidRDefault="00590D10" w:rsidP="00590D10">
            <w:pPr>
              <w:spacing w:after="0" w:line="240" w:lineRule="auto"/>
              <w:textAlignment w:val="baseline"/>
              <w:rPr>
                <w:rFonts w:asciiTheme="minorHAnsi" w:eastAsia="Times New Roman" w:hAnsiTheme="minorHAnsi" w:cstheme="minorHAnsi"/>
                <w:b/>
                <w:color w:val="222222"/>
                <w:lang w:eastAsia="hu-HU"/>
              </w:rPr>
            </w:pPr>
            <w:r w:rsidRPr="00590D10">
              <w:rPr>
                <w:rFonts w:asciiTheme="minorHAnsi" w:eastAsia="Times New Roman" w:hAnsiTheme="minorHAnsi" w:cstheme="minorHAnsi"/>
                <w:b/>
                <w:color w:val="222222"/>
                <w:lang w:eastAsia="hu-HU"/>
              </w:rPr>
              <w:t>Egészségi állapot megőrzését jelentő szolgáltatásokhoz való hozzájárulás</w:t>
            </w:r>
          </w:p>
        </w:tc>
        <w:tc>
          <w:tcPr>
            <w:tcW w:w="587"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 fő rendszeres</w:t>
            </w:r>
          </w:p>
          <w:p w:rsidR="00590D10" w:rsidRPr="00590D10" w:rsidRDefault="00590D10" w:rsidP="00590D10">
            <w:pPr>
              <w:spacing w:after="0" w:line="240" w:lineRule="auto"/>
              <w:textAlignment w:val="baseline"/>
              <w:rPr>
                <w:rFonts w:asciiTheme="minorHAnsi" w:eastAsia="Times New Roman" w:hAnsiTheme="minorHAnsi" w:cstheme="minorHAnsi"/>
                <w:b/>
                <w:lang w:eastAsia="hu-HU"/>
              </w:rPr>
            </w:pPr>
            <w:r w:rsidRPr="00590D10">
              <w:rPr>
                <w:rFonts w:asciiTheme="minorHAnsi" w:eastAsia="Times New Roman" w:hAnsiTheme="minorHAnsi" w:cstheme="minorHAnsi"/>
                <w:lang w:eastAsia="hu-HU"/>
              </w:rPr>
              <w:t>8 fő eseti</w:t>
            </w:r>
          </w:p>
        </w:tc>
        <w:tc>
          <w:tcPr>
            <w:tcW w:w="501"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8000,- Ft.</w:t>
            </w:r>
          </w:p>
        </w:tc>
        <w:tc>
          <w:tcPr>
            <w:tcW w:w="5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proofErr w:type="spellStart"/>
            <w:r w:rsidRPr="00590D10">
              <w:rPr>
                <w:rFonts w:asciiTheme="minorHAnsi" w:eastAsia="Times New Roman" w:hAnsiTheme="minorHAnsi" w:cstheme="minorHAnsi"/>
                <w:lang w:eastAsia="hu-HU"/>
              </w:rPr>
              <w:t>max</w:t>
            </w:r>
            <w:proofErr w:type="spellEnd"/>
            <w:r w:rsidRPr="00590D10">
              <w:rPr>
                <w:rFonts w:asciiTheme="minorHAnsi" w:eastAsia="Times New Roman" w:hAnsiTheme="minorHAnsi" w:cstheme="minorHAnsi"/>
                <w:lang w:eastAsia="hu-HU"/>
              </w:rPr>
              <w:t>. 10.000,- Ft.</w:t>
            </w:r>
          </w:p>
        </w:tc>
        <w:tc>
          <w:tcPr>
            <w:tcW w:w="1174" w:type="pct"/>
            <w:gridSpan w:val="2"/>
          </w:tcPr>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egységesen</w:t>
            </w:r>
          </w:p>
          <w:p w:rsidR="00590D10" w:rsidRPr="00590D10" w:rsidRDefault="00590D10" w:rsidP="00590D10">
            <w:pPr>
              <w:spacing w:after="0" w:line="240" w:lineRule="auto"/>
              <w:jc w:val="center"/>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250% és 200%</w:t>
            </w:r>
          </w:p>
          <w:p w:rsidR="00590D10" w:rsidRPr="00590D10" w:rsidRDefault="00590D10" w:rsidP="00590D10">
            <w:pPr>
              <w:spacing w:after="0" w:line="240" w:lineRule="auto"/>
              <w:jc w:val="center"/>
              <w:textAlignment w:val="baseline"/>
              <w:rPr>
                <w:rFonts w:asciiTheme="minorHAnsi" w:eastAsia="Times New Roman" w:hAnsiTheme="minorHAnsi" w:cstheme="minorHAnsi"/>
                <w:b/>
                <w:lang w:eastAsia="hu-HU"/>
              </w:rPr>
            </w:pPr>
            <w:r w:rsidRPr="00590D10">
              <w:rPr>
                <w:rFonts w:asciiTheme="minorHAnsi" w:eastAsia="Times New Roman" w:hAnsiTheme="minorHAnsi" w:cstheme="minorHAnsi"/>
                <w:lang w:eastAsia="hu-HU"/>
              </w:rPr>
              <w:t>(71.250,- Ft. és 57.000,- Ft.)</w:t>
            </w:r>
          </w:p>
        </w:tc>
        <w:tc>
          <w:tcPr>
            <w:tcW w:w="560"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300%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(85.500,- Ft.)</w:t>
            </w:r>
          </w:p>
        </w:tc>
        <w:tc>
          <w:tcPr>
            <w:tcW w:w="614" w:type="pct"/>
          </w:tcPr>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320%</w:t>
            </w:r>
          </w:p>
          <w:p w:rsidR="00590D10" w:rsidRPr="00590D10" w:rsidRDefault="00590D10" w:rsidP="00590D10">
            <w:pPr>
              <w:spacing w:after="0" w:line="240" w:lineRule="auto"/>
              <w:textAlignment w:val="baseline"/>
              <w:rPr>
                <w:rFonts w:asciiTheme="minorHAnsi" w:eastAsia="Times New Roman" w:hAnsiTheme="minorHAnsi" w:cstheme="minorHAnsi"/>
                <w:lang w:eastAsia="hu-HU"/>
              </w:rPr>
            </w:pPr>
            <w:r w:rsidRPr="00590D10">
              <w:rPr>
                <w:rFonts w:asciiTheme="minorHAnsi" w:eastAsia="Times New Roman" w:hAnsiTheme="minorHAnsi" w:cstheme="minorHAnsi"/>
                <w:lang w:eastAsia="hu-HU"/>
              </w:rPr>
              <w:t>(91.200,- Ft)</w:t>
            </w:r>
          </w:p>
        </w:tc>
      </w:tr>
    </w:tbl>
    <w:p w:rsidR="00590D10" w:rsidRPr="007C4447" w:rsidRDefault="00590D10" w:rsidP="00AE2FF5">
      <w:pPr>
        <w:jc w:val="both"/>
        <w:rPr>
          <w:rFonts w:asciiTheme="minorHAnsi" w:hAnsiTheme="minorHAnsi" w:cstheme="minorHAnsi"/>
          <w:color w:val="000000"/>
          <w:shd w:val="clear" w:color="auto" w:fill="FBFBFB"/>
        </w:rPr>
      </w:pPr>
    </w:p>
    <w:p w:rsidR="00AE2FF5" w:rsidRPr="007C4447" w:rsidRDefault="00AE2FF5" w:rsidP="00AE2FF5">
      <w:pPr>
        <w:widowControl w:val="0"/>
        <w:spacing w:after="0" w:line="249" w:lineRule="auto"/>
        <w:ind w:right="166" w:firstLine="23"/>
        <w:jc w:val="both"/>
        <w:rPr>
          <w:rFonts w:asciiTheme="minorHAnsi" w:eastAsia="Times New Roman" w:hAnsiTheme="minorHAnsi" w:cstheme="minorHAnsi"/>
          <w:b/>
          <w:color w:val="0F0F0F"/>
          <w:w w:val="105"/>
          <w:lang w:val="en-US"/>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p w:rsidR="00AE2FF5" w:rsidRPr="007C4447" w:rsidRDefault="00AE2FF5" w:rsidP="00AE2FF5">
      <w:pPr>
        <w:rPr>
          <w:rFonts w:asciiTheme="minorHAnsi" w:hAnsiTheme="minorHAnsi" w:cstheme="minorHAnsi"/>
        </w:rPr>
      </w:pPr>
    </w:p>
    <w:sectPr w:rsidR="00AE2FF5" w:rsidRPr="007C4447" w:rsidSect="00C5030B">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4F8E"/>
    <w:multiLevelType w:val="hybridMultilevel"/>
    <w:tmpl w:val="A0542344"/>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5015E8A"/>
    <w:multiLevelType w:val="hybridMultilevel"/>
    <w:tmpl w:val="5C7A2580"/>
    <w:lvl w:ilvl="0" w:tplc="AD5C2F56">
      <w:start w:val="2713"/>
      <w:numFmt w:val="bullet"/>
      <w:lvlText w:val="-"/>
      <w:lvlJc w:val="left"/>
      <w:pPr>
        <w:ind w:left="1585" w:hanging="360"/>
      </w:pPr>
      <w:rPr>
        <w:rFonts w:ascii="Cambria" w:eastAsia="Times New Roman" w:hAnsi="Cambria" w:cs="Times New Roman" w:hint="default"/>
      </w:rPr>
    </w:lvl>
    <w:lvl w:ilvl="1" w:tplc="040E0003" w:tentative="1">
      <w:start w:val="1"/>
      <w:numFmt w:val="bullet"/>
      <w:lvlText w:val="o"/>
      <w:lvlJc w:val="left"/>
      <w:pPr>
        <w:ind w:left="2305" w:hanging="360"/>
      </w:pPr>
      <w:rPr>
        <w:rFonts w:ascii="Courier New" w:hAnsi="Courier New" w:cs="Courier New" w:hint="default"/>
      </w:rPr>
    </w:lvl>
    <w:lvl w:ilvl="2" w:tplc="040E0005" w:tentative="1">
      <w:start w:val="1"/>
      <w:numFmt w:val="bullet"/>
      <w:lvlText w:val=""/>
      <w:lvlJc w:val="left"/>
      <w:pPr>
        <w:ind w:left="3025" w:hanging="360"/>
      </w:pPr>
      <w:rPr>
        <w:rFonts w:ascii="Wingdings" w:hAnsi="Wingdings" w:hint="default"/>
      </w:rPr>
    </w:lvl>
    <w:lvl w:ilvl="3" w:tplc="040E0001" w:tentative="1">
      <w:start w:val="1"/>
      <w:numFmt w:val="bullet"/>
      <w:lvlText w:val=""/>
      <w:lvlJc w:val="left"/>
      <w:pPr>
        <w:ind w:left="3745" w:hanging="360"/>
      </w:pPr>
      <w:rPr>
        <w:rFonts w:ascii="Symbol" w:hAnsi="Symbol" w:hint="default"/>
      </w:rPr>
    </w:lvl>
    <w:lvl w:ilvl="4" w:tplc="040E0003" w:tentative="1">
      <w:start w:val="1"/>
      <w:numFmt w:val="bullet"/>
      <w:lvlText w:val="o"/>
      <w:lvlJc w:val="left"/>
      <w:pPr>
        <w:ind w:left="4465" w:hanging="360"/>
      </w:pPr>
      <w:rPr>
        <w:rFonts w:ascii="Courier New" w:hAnsi="Courier New" w:cs="Courier New" w:hint="default"/>
      </w:rPr>
    </w:lvl>
    <w:lvl w:ilvl="5" w:tplc="040E0005" w:tentative="1">
      <w:start w:val="1"/>
      <w:numFmt w:val="bullet"/>
      <w:lvlText w:val=""/>
      <w:lvlJc w:val="left"/>
      <w:pPr>
        <w:ind w:left="5185" w:hanging="360"/>
      </w:pPr>
      <w:rPr>
        <w:rFonts w:ascii="Wingdings" w:hAnsi="Wingdings" w:hint="default"/>
      </w:rPr>
    </w:lvl>
    <w:lvl w:ilvl="6" w:tplc="040E0001" w:tentative="1">
      <w:start w:val="1"/>
      <w:numFmt w:val="bullet"/>
      <w:lvlText w:val=""/>
      <w:lvlJc w:val="left"/>
      <w:pPr>
        <w:ind w:left="5905" w:hanging="360"/>
      </w:pPr>
      <w:rPr>
        <w:rFonts w:ascii="Symbol" w:hAnsi="Symbol" w:hint="default"/>
      </w:rPr>
    </w:lvl>
    <w:lvl w:ilvl="7" w:tplc="040E0003" w:tentative="1">
      <w:start w:val="1"/>
      <w:numFmt w:val="bullet"/>
      <w:lvlText w:val="o"/>
      <w:lvlJc w:val="left"/>
      <w:pPr>
        <w:ind w:left="6625" w:hanging="360"/>
      </w:pPr>
      <w:rPr>
        <w:rFonts w:ascii="Courier New" w:hAnsi="Courier New" w:cs="Courier New" w:hint="default"/>
      </w:rPr>
    </w:lvl>
    <w:lvl w:ilvl="8" w:tplc="040E0005" w:tentative="1">
      <w:start w:val="1"/>
      <w:numFmt w:val="bullet"/>
      <w:lvlText w:val=""/>
      <w:lvlJc w:val="left"/>
      <w:pPr>
        <w:ind w:left="7345" w:hanging="360"/>
      </w:pPr>
      <w:rPr>
        <w:rFonts w:ascii="Wingdings" w:hAnsi="Wingdings" w:hint="default"/>
      </w:rPr>
    </w:lvl>
  </w:abstractNum>
  <w:abstractNum w:abstractNumId="2" w15:restartNumberingAfterBreak="0">
    <w:nsid w:val="38D4532D"/>
    <w:multiLevelType w:val="multilevel"/>
    <w:tmpl w:val="9154B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30017C"/>
    <w:multiLevelType w:val="multilevel"/>
    <w:tmpl w:val="A89024E6"/>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2558" w:hanging="432"/>
      </w:pPr>
      <w:rPr>
        <w:rFonts w:cs="Times New Roman" w:hint="default"/>
        <w:b w:val="0"/>
        <w:sz w:val="22"/>
        <w:szCs w:val="22"/>
      </w:rPr>
    </w:lvl>
    <w:lvl w:ilvl="2">
      <w:start w:val="1"/>
      <w:numFmt w:val="decimal"/>
      <w:lvlText w:val="%1.%2.%3."/>
      <w:lvlJc w:val="left"/>
      <w:pPr>
        <w:ind w:left="1213" w:hanging="504"/>
      </w:pPr>
      <w:rPr>
        <w:rFonts w:cs="Times New Roman" w:hint="default"/>
        <w:b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536A5830"/>
    <w:multiLevelType w:val="hybridMultilevel"/>
    <w:tmpl w:val="69323E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DC0400B"/>
    <w:multiLevelType w:val="hybridMultilevel"/>
    <w:tmpl w:val="DDB887E8"/>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4FE0941"/>
    <w:multiLevelType w:val="hybridMultilevel"/>
    <w:tmpl w:val="A5CAD5D4"/>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FF5"/>
    <w:rsid w:val="0002105E"/>
    <w:rsid w:val="00080751"/>
    <w:rsid w:val="00135A5C"/>
    <w:rsid w:val="00157F9E"/>
    <w:rsid w:val="00233E11"/>
    <w:rsid w:val="002A309F"/>
    <w:rsid w:val="002A3246"/>
    <w:rsid w:val="003E4296"/>
    <w:rsid w:val="003E6110"/>
    <w:rsid w:val="00456E37"/>
    <w:rsid w:val="00466FC7"/>
    <w:rsid w:val="00471710"/>
    <w:rsid w:val="004A29FB"/>
    <w:rsid w:val="004D32D2"/>
    <w:rsid w:val="004E688D"/>
    <w:rsid w:val="0050126C"/>
    <w:rsid w:val="00522114"/>
    <w:rsid w:val="00590D10"/>
    <w:rsid w:val="005D079E"/>
    <w:rsid w:val="006D115B"/>
    <w:rsid w:val="00784E46"/>
    <w:rsid w:val="007C4447"/>
    <w:rsid w:val="007D5880"/>
    <w:rsid w:val="00870907"/>
    <w:rsid w:val="008751F4"/>
    <w:rsid w:val="008A5908"/>
    <w:rsid w:val="008B5C35"/>
    <w:rsid w:val="008D5ACD"/>
    <w:rsid w:val="008D7B6C"/>
    <w:rsid w:val="009776A7"/>
    <w:rsid w:val="009A6CD6"/>
    <w:rsid w:val="00A7724E"/>
    <w:rsid w:val="00A8095B"/>
    <w:rsid w:val="00AE2FF5"/>
    <w:rsid w:val="00B001A9"/>
    <w:rsid w:val="00BD1ABD"/>
    <w:rsid w:val="00C43924"/>
    <w:rsid w:val="00C5030B"/>
    <w:rsid w:val="00CC43F7"/>
    <w:rsid w:val="00D57AC2"/>
    <w:rsid w:val="00D77BF8"/>
    <w:rsid w:val="00DC66DE"/>
    <w:rsid w:val="00DE7BB9"/>
    <w:rsid w:val="00E01BF2"/>
    <w:rsid w:val="00ED094D"/>
    <w:rsid w:val="00F0037E"/>
    <w:rsid w:val="00F97E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09ED2E-04B7-4EBA-890C-BA06D1F1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E2FF5"/>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E2FF5"/>
    <w:pPr>
      <w:ind w:left="720"/>
      <w:contextualSpacing/>
    </w:pPr>
  </w:style>
  <w:style w:type="table" w:styleId="Rcsostblzat">
    <w:name w:val="Table Grid"/>
    <w:basedOn w:val="Normltblzat"/>
    <w:uiPriority w:val="59"/>
    <w:rsid w:val="00AE2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unhideWhenUsed/>
    <w:rsid w:val="00AE2FF5"/>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AE2FF5"/>
    <w:rPr>
      <w:i/>
      <w:iCs/>
    </w:rPr>
  </w:style>
  <w:style w:type="paragraph" w:styleId="Buborkszveg">
    <w:name w:val="Balloon Text"/>
    <w:basedOn w:val="Norml"/>
    <w:link w:val="BuborkszvegChar"/>
    <w:uiPriority w:val="99"/>
    <w:semiHidden/>
    <w:unhideWhenUsed/>
    <w:rsid w:val="00A8095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095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6652">
      <w:bodyDiv w:val="1"/>
      <w:marLeft w:val="0"/>
      <w:marRight w:val="0"/>
      <w:marTop w:val="0"/>
      <w:marBottom w:val="0"/>
      <w:divBdr>
        <w:top w:val="none" w:sz="0" w:space="0" w:color="auto"/>
        <w:left w:val="none" w:sz="0" w:space="0" w:color="auto"/>
        <w:bottom w:val="none" w:sz="0" w:space="0" w:color="auto"/>
        <w:right w:val="none" w:sz="0" w:space="0" w:color="auto"/>
      </w:divBdr>
    </w:div>
    <w:div w:id="143178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D9D63-4F3C-4624-A79E-9337517F6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1441</Words>
  <Characters>9950</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Polgarmester</cp:lastModifiedBy>
  <cp:revision>3</cp:revision>
  <cp:lastPrinted>2024-01-25T07:49:00Z</cp:lastPrinted>
  <dcterms:created xsi:type="dcterms:W3CDTF">2024-01-25T10:02:00Z</dcterms:created>
  <dcterms:modified xsi:type="dcterms:W3CDTF">2024-01-26T13:48:00Z</dcterms:modified>
</cp:coreProperties>
</file>